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Arial" w:eastAsia="黑体" w:cs="Arial"/>
          <w:b/>
          <w:bCs/>
          <w:color w:val="000000"/>
          <w:sz w:val="48"/>
          <w:szCs w:val="48"/>
        </w:rPr>
      </w:pPr>
    </w:p>
    <w:p>
      <w:pPr>
        <w:jc w:val="center"/>
        <w:rPr>
          <w:rFonts w:ascii="黑体" w:hAnsi="Arial" w:eastAsia="黑体" w:cs="Arial"/>
          <w:b/>
          <w:bCs/>
          <w:color w:val="000000"/>
          <w:sz w:val="48"/>
          <w:szCs w:val="48"/>
        </w:rPr>
      </w:pPr>
    </w:p>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72"/>
          <w:szCs w:val="72"/>
        </w:rPr>
      </w:pPr>
      <w:r>
        <w:rPr>
          <w:rFonts w:hint="eastAsia" w:ascii="黑体" w:eastAsia="黑体"/>
          <w:b/>
          <w:sz w:val="72"/>
          <w:szCs w:val="72"/>
        </w:rPr>
        <w:t>购买职工补充医疗保险</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2021年10月</w:t>
      </w:r>
      <w:r>
        <w:rPr>
          <w:rFonts w:ascii="黑体" w:eastAsia="黑体"/>
          <w:b/>
          <w:sz w:val="32"/>
          <w:szCs w:val="32"/>
        </w:rPr>
        <w:t>1</w:t>
      </w:r>
      <w:r>
        <w:rPr>
          <w:rFonts w:hint="eastAsia" w:ascii="黑体" w:eastAsia="黑体"/>
          <w:b/>
          <w:sz w:val="32"/>
          <w:szCs w:val="32"/>
          <w:lang w:val="en-US" w:eastAsia="zh-CN"/>
        </w:rPr>
        <w:t>8</w:t>
      </w:r>
      <w:r>
        <w:rPr>
          <w:rFonts w:hint="eastAsia" w:ascii="黑体" w:eastAsia="黑体"/>
          <w:b/>
          <w:sz w:val="32"/>
          <w:szCs w:val="32"/>
        </w:rPr>
        <w:t>日</w: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28"/>
          <w:szCs w:val="28"/>
        </w:rPr>
      </w:pPr>
      <w:r>
        <w:rPr>
          <w:rFonts w:hint="eastAsia" w:ascii="黑体" w:eastAsia="黑体"/>
          <w:sz w:val="36"/>
          <w:szCs w:val="36"/>
        </w:rPr>
        <w:t>第一章  比选须知</w:t>
      </w:r>
    </w:p>
    <w:p>
      <w:pPr>
        <w:spacing w:line="60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（一）不论比选的结果如何，参加比选的保险公司均应自行承担编制和提交比选申请书的全部费用，比选人对这些费用概不负责；</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（二）在参加本项目的比选活动中，必须由保险公司负责人或其授权的委托代理人参加。</w:t>
      </w:r>
    </w:p>
    <w:p>
      <w:pPr>
        <w:spacing w:line="60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（一）必须为中华人民共和国境内注册的具有独立法人资格的公司；</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（二）具有中国保险监督管理委员会颁发的《保险经营业务许可证》和工商行政管理部门颁发的营业执照；</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（三）在国家工商总局“全国企业信用信息公示系统”（http：//www.gsxt.saic.gov.cn）中无行政处罚信息、无列入经营异常名录信息、无列入严重违法失信企业名单（黑名单）信息；</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（四）本次比选不接受联合体。</w:t>
      </w:r>
    </w:p>
    <w:p>
      <w:pPr>
        <w:spacing w:line="60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通过公开比选，选择保费优惠、项目科学、服务优良的保险公司为都江堰轨道交通有限责任公司全体职工提供员工团体补充医疗保险服务。</w:t>
      </w:r>
    </w:p>
    <w:p>
      <w:pPr>
        <w:numPr>
          <w:ilvl w:val="0"/>
          <w:numId w:val="1"/>
        </w:numPr>
        <w:spacing w:line="600" w:lineRule="exact"/>
        <w:ind w:firstLine="560" w:firstLineChars="200"/>
        <w:jc w:val="left"/>
        <w:rPr>
          <w:rFonts w:ascii="黑体" w:eastAsia="黑体"/>
          <w:sz w:val="28"/>
          <w:szCs w:val="28"/>
        </w:rPr>
      </w:pPr>
      <w:r>
        <w:rPr>
          <w:rFonts w:hint="eastAsia" w:ascii="黑体" w:eastAsia="黑体"/>
          <w:sz w:val="28"/>
          <w:szCs w:val="28"/>
        </w:rPr>
        <w:t>比选被邀请人在比选申请书中应当提供的信息及评价比例</w:t>
      </w:r>
    </w:p>
    <w:p>
      <w:pPr>
        <w:spacing w:line="600" w:lineRule="exact"/>
        <w:ind w:firstLine="560" w:firstLineChars="200"/>
        <w:rPr>
          <w:rFonts w:ascii="仿宋_GB2312" w:eastAsia="仿宋_GB2312"/>
          <w:color w:val="FF0000"/>
          <w:sz w:val="28"/>
          <w:szCs w:val="28"/>
        </w:rPr>
      </w:pPr>
    </w:p>
    <w:tbl>
      <w:tblPr>
        <w:tblStyle w:val="10"/>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0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0"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项目</w:t>
            </w:r>
          </w:p>
        </w:tc>
        <w:tc>
          <w:tcPr>
            <w:tcW w:w="6202"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明细</w:t>
            </w:r>
          </w:p>
        </w:tc>
        <w:tc>
          <w:tcPr>
            <w:tcW w:w="914" w:type="dxa"/>
            <w:vAlign w:val="center"/>
          </w:tcPr>
          <w:p>
            <w:pPr>
              <w:spacing w:line="320" w:lineRule="atLeast"/>
              <w:jc w:val="center"/>
              <w:rPr>
                <w:rFonts w:ascii="黑体" w:hAnsi="黑体" w:eastAsia="黑体"/>
                <w:sz w:val="28"/>
                <w:szCs w:val="28"/>
              </w:rPr>
            </w:pPr>
            <w:r>
              <w:rPr>
                <w:rFonts w:hint="eastAsia" w:ascii="黑体" w:hAnsi="黑体" w:eastAsia="黑体"/>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30" w:type="dxa"/>
            <w:vAlign w:val="center"/>
          </w:tcPr>
          <w:p>
            <w:pPr>
              <w:spacing w:line="320" w:lineRule="atLeast"/>
              <w:jc w:val="center"/>
            </w:pPr>
            <w:r>
              <w:rPr>
                <w:rFonts w:hint="eastAsia"/>
              </w:rPr>
              <w:t>方案报价</w:t>
            </w:r>
          </w:p>
        </w:tc>
        <w:tc>
          <w:tcPr>
            <w:tcW w:w="6202" w:type="dxa"/>
            <w:vAlign w:val="center"/>
          </w:tcPr>
          <w:p>
            <w:pPr>
              <w:spacing w:line="320" w:lineRule="atLeast"/>
              <w:jc w:val="center"/>
            </w:pPr>
            <w:r>
              <w:rPr>
                <w:rFonts w:hint="eastAsia"/>
              </w:rPr>
              <w:t>团体保险报价</w:t>
            </w:r>
          </w:p>
        </w:tc>
        <w:tc>
          <w:tcPr>
            <w:tcW w:w="914" w:type="dxa"/>
            <w:vAlign w:val="center"/>
          </w:tcPr>
          <w:p>
            <w:pPr>
              <w:spacing w:line="320" w:lineRule="atLeast"/>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0" w:type="dxa"/>
            <w:vAlign w:val="center"/>
          </w:tcPr>
          <w:p>
            <w:pPr>
              <w:spacing w:line="320" w:lineRule="atLeast"/>
              <w:jc w:val="center"/>
            </w:pPr>
            <w:r>
              <w:rPr>
                <w:rFonts w:hint="eastAsia"/>
              </w:rPr>
              <w:t>方案评价</w:t>
            </w:r>
          </w:p>
        </w:tc>
        <w:tc>
          <w:tcPr>
            <w:tcW w:w="6202" w:type="dxa"/>
            <w:vAlign w:val="center"/>
          </w:tcPr>
          <w:p>
            <w:pPr>
              <w:spacing w:line="320" w:lineRule="atLeast"/>
              <w:jc w:val="center"/>
            </w:pPr>
            <w:r>
              <w:rPr>
                <w:rFonts w:hint="eastAsia"/>
              </w:rPr>
              <w:t>方案设计合理，满足保障需求且方案中保额额度设计合理等</w:t>
            </w:r>
          </w:p>
        </w:tc>
        <w:tc>
          <w:tcPr>
            <w:tcW w:w="914" w:type="dxa"/>
            <w:vAlign w:val="center"/>
          </w:tcPr>
          <w:p>
            <w:pPr>
              <w:spacing w:line="320" w:lineRule="atLeast"/>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30" w:type="dxa"/>
            <w:vAlign w:val="center"/>
          </w:tcPr>
          <w:p>
            <w:pPr>
              <w:spacing w:line="320" w:lineRule="atLeast"/>
              <w:jc w:val="center"/>
            </w:pPr>
            <w:r>
              <w:rPr>
                <w:rFonts w:hint="eastAsia"/>
              </w:rPr>
              <w:t>客户服务</w:t>
            </w:r>
          </w:p>
        </w:tc>
        <w:tc>
          <w:tcPr>
            <w:tcW w:w="6202" w:type="dxa"/>
            <w:vAlign w:val="center"/>
          </w:tcPr>
          <w:p>
            <w:pPr>
              <w:spacing w:line="320" w:lineRule="atLeast"/>
              <w:jc w:val="center"/>
            </w:pPr>
            <w:r>
              <w:rPr>
                <w:rFonts w:hint="eastAsia"/>
              </w:rPr>
              <w:t>项目负责人及服务人员的经验、增值保障服务、偿付便捷度等</w:t>
            </w:r>
          </w:p>
        </w:tc>
        <w:tc>
          <w:tcPr>
            <w:tcW w:w="914" w:type="dxa"/>
            <w:vAlign w:val="center"/>
          </w:tcPr>
          <w:p>
            <w:pPr>
              <w:spacing w:line="320" w:lineRule="atLeast"/>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pPr>
            <w:r>
              <w:rPr>
                <w:rFonts w:hint="eastAsia"/>
              </w:rPr>
              <w:t>公司能力</w:t>
            </w:r>
          </w:p>
        </w:tc>
        <w:tc>
          <w:tcPr>
            <w:tcW w:w="6202" w:type="dxa"/>
            <w:vAlign w:val="center"/>
          </w:tcPr>
          <w:p>
            <w:pPr>
              <w:spacing w:line="320" w:lineRule="atLeast"/>
              <w:jc w:val="both"/>
              <w:rPr>
                <w:color w:val="FF0000"/>
              </w:rPr>
            </w:pPr>
            <w:r>
              <w:rPr>
                <w:rFonts w:hint="eastAsia"/>
                <w:color w:val="auto"/>
              </w:rPr>
              <w:t>市场项目经验（</w:t>
            </w:r>
            <w:r>
              <w:rPr>
                <w:rFonts w:hint="eastAsia"/>
                <w:color w:val="auto"/>
                <w:lang w:eastAsia="zh-CN"/>
              </w:rPr>
              <w:t>有与比选人所需服务一致的</w:t>
            </w:r>
            <w:r>
              <w:rPr>
                <w:rFonts w:hint="eastAsia"/>
                <w:color w:val="auto"/>
                <w:highlight w:val="none"/>
              </w:rPr>
              <w:t>相关业绩</w:t>
            </w:r>
            <w:r>
              <w:rPr>
                <w:rFonts w:hint="eastAsia"/>
                <w:color w:val="auto"/>
              </w:rPr>
              <w:t>）、完善的风险控制体系和具有连续经营和稳健的财务状况</w:t>
            </w:r>
          </w:p>
        </w:tc>
        <w:tc>
          <w:tcPr>
            <w:tcW w:w="914" w:type="dxa"/>
            <w:vAlign w:val="center"/>
          </w:tcPr>
          <w:p>
            <w:pPr>
              <w:spacing w:line="320" w:lineRule="atLeast"/>
              <w:jc w:val="center"/>
            </w:pPr>
            <w:r>
              <w:rPr>
                <w:rFonts w:hint="eastAsia"/>
              </w:rPr>
              <w:t>15%</w:t>
            </w:r>
          </w:p>
        </w:tc>
      </w:tr>
    </w:tbl>
    <w:p>
      <w:pPr>
        <w:spacing w:line="600" w:lineRule="exact"/>
        <w:ind w:firstLine="560" w:firstLineChars="200"/>
        <w:jc w:val="left"/>
        <w:rPr>
          <w:rFonts w:ascii="黑体" w:eastAsia="黑体"/>
          <w:sz w:val="28"/>
          <w:szCs w:val="28"/>
        </w:rPr>
      </w:pPr>
      <w:r>
        <w:rPr>
          <w:rFonts w:hint="eastAsia" w:ascii="黑体" w:eastAsia="黑体"/>
          <w:sz w:val="28"/>
          <w:szCs w:val="28"/>
        </w:rPr>
        <w:t>五、比选日程安排</w:t>
      </w:r>
    </w:p>
    <w:p>
      <w:pPr>
        <w:spacing w:after="50" w:line="420" w:lineRule="exact"/>
        <w:ind w:firstLine="560" w:firstLineChars="200"/>
        <w:rPr>
          <w:rFonts w:ascii="仿宋_GB2312" w:eastAsia="仿宋_GB2312"/>
          <w:sz w:val="28"/>
          <w:szCs w:val="28"/>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rPr>
        <w:t>21年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日至10月</w:t>
      </w:r>
      <w:r>
        <w:rPr>
          <w:rFonts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日在都江堰轨道交通有限责任公司官网</w:t>
      </w: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HYPERLINK "http://www.djygdjt.cn/"</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http://www.djygdjt.cn/</w:t>
      </w:r>
      <w:r>
        <w:rPr>
          <w:rFonts w:ascii="仿宋_GB2312" w:eastAsia="仿宋_GB2312"/>
          <w:sz w:val="28"/>
          <w:szCs w:val="28"/>
        </w:rPr>
        <w:fldChar w:fldCharType="end"/>
      </w:r>
      <w:r>
        <w:rPr>
          <w:rFonts w:hint="eastAsia" w:ascii="仿宋_GB2312" w:eastAsia="仿宋_GB2312"/>
          <w:sz w:val="28"/>
          <w:szCs w:val="28"/>
        </w:rPr>
        <w:t>、西南联合产权</w:t>
      </w:r>
      <w:r>
        <w:rPr>
          <w:rFonts w:hint="eastAsia"/>
        </w:rPr>
        <w:t>交</w:t>
      </w:r>
      <w:r>
        <w:rPr>
          <w:rFonts w:hint="eastAsia" w:ascii="仿宋_GB2312" w:eastAsia="仿宋_GB2312"/>
          <w:sz w:val="28"/>
          <w:szCs w:val="28"/>
        </w:rPr>
        <w:t>易所电子招采平台网站（https://www.swuee.com/#/purchase/index）发布比选通知</w:t>
      </w:r>
      <w:r>
        <w:rPr>
          <w:rFonts w:hint="eastAsia" w:ascii="仿宋_GB2312" w:eastAsia="仿宋_GB2312"/>
          <w:sz w:val="28"/>
          <w:szCs w:val="28"/>
          <w:lang w:eastAsia="zh-CN"/>
        </w:rPr>
        <w:t>，有意参与本项目的参选人在</w:t>
      </w:r>
      <w:r>
        <w:rPr>
          <w:rFonts w:hint="eastAsia" w:ascii="仿宋_GB2312" w:eastAsia="仿宋_GB2312"/>
          <w:sz w:val="28"/>
          <w:szCs w:val="28"/>
        </w:rPr>
        <w:t>西南联合产权交易所电子招采平台网站按照网上操作流程（资料下载-供应商操作手册）获取</w:t>
      </w:r>
      <w:r>
        <w:rPr>
          <w:rFonts w:hint="eastAsia" w:ascii="仿宋_GB2312" w:eastAsia="仿宋_GB2312"/>
          <w:sz w:val="28"/>
          <w:szCs w:val="28"/>
          <w:lang w:eastAsia="zh-CN"/>
        </w:rPr>
        <w:t>比选</w:t>
      </w:r>
      <w:r>
        <w:rPr>
          <w:rFonts w:hint="eastAsia" w:ascii="仿宋_GB2312" w:eastAsia="仿宋_GB2312"/>
          <w:sz w:val="28"/>
          <w:szCs w:val="28"/>
        </w:rPr>
        <w:t>文件。</w:t>
      </w:r>
      <w:bookmarkStart w:id="0" w:name="_GoBack"/>
      <w:bookmarkEnd w:id="0"/>
    </w:p>
    <w:p>
      <w:pPr>
        <w:spacing w:line="600" w:lineRule="exact"/>
        <w:ind w:firstLine="560" w:firstLineChars="200"/>
        <w:jc w:val="left"/>
        <w:rPr>
          <w:rFonts w:ascii="仿宋_GB2312" w:eastAsia="仿宋_GB2312"/>
          <w:color w:val="auto"/>
          <w:sz w:val="28"/>
          <w:szCs w:val="28"/>
        </w:rPr>
      </w:pPr>
      <w:r>
        <w:rPr>
          <w:rFonts w:hint="eastAsia" w:ascii="仿宋_GB2312" w:eastAsia="仿宋_GB2312"/>
          <w:sz w:val="28"/>
          <w:szCs w:val="28"/>
        </w:rPr>
        <w:t>（二）参选职工补充医疗保险公司按照都江堰轨道交通有限责任公司要求于</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年10月</w:t>
      </w:r>
      <w:r>
        <w:rPr>
          <w:rFonts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日1</w:t>
      </w:r>
      <w:r>
        <w:rPr>
          <w:rFonts w:ascii="仿宋_GB2312" w:eastAsia="仿宋_GB2312"/>
          <w:sz w:val="28"/>
          <w:szCs w:val="28"/>
        </w:rPr>
        <w:t>0</w:t>
      </w:r>
      <w:r>
        <w:rPr>
          <w:rFonts w:hint="eastAsia" w:ascii="仿宋_GB2312" w:eastAsia="仿宋_GB2312"/>
          <w:sz w:val="28"/>
          <w:szCs w:val="28"/>
        </w:rPr>
        <w:t>：00前，将按照本比选文件的要求将密封好的比选申请书递交到我公司</w:t>
      </w:r>
      <w:r>
        <w:rPr>
          <w:rFonts w:hint="eastAsia" w:ascii="仿宋_GB2312" w:eastAsia="仿宋_GB2312"/>
          <w:color w:val="auto"/>
          <w:sz w:val="28"/>
          <w:szCs w:val="28"/>
        </w:rPr>
        <w:t>（</w:t>
      </w:r>
      <w:r>
        <w:rPr>
          <w:rFonts w:hint="eastAsia" w:ascii="仿宋_GB2312" w:eastAsia="仿宋_GB2312"/>
          <w:color w:val="auto"/>
          <w:sz w:val="28"/>
          <w:szCs w:val="28"/>
          <w:lang w:eastAsia="zh-CN"/>
        </w:rPr>
        <w:t>地址：四川省成都市都江堰市新益社区</w:t>
      </w:r>
      <w:r>
        <w:rPr>
          <w:rFonts w:hint="eastAsia" w:ascii="仿宋_GB2312" w:eastAsia="仿宋_GB2312"/>
          <w:color w:val="auto"/>
          <w:sz w:val="28"/>
          <w:szCs w:val="28"/>
          <w:lang w:val="en-US" w:eastAsia="zh-CN"/>
        </w:rPr>
        <w:t>14组99号都江堰轨道交通有限责任公司</w:t>
      </w:r>
      <w:r>
        <w:rPr>
          <w:rFonts w:hint="eastAsia" w:ascii="仿宋_GB2312" w:eastAsia="仿宋_GB2312"/>
          <w:color w:val="auto"/>
          <w:sz w:val="28"/>
          <w:szCs w:val="28"/>
        </w:rPr>
        <w:t>）；</w:t>
      </w:r>
    </w:p>
    <w:p>
      <w:pPr>
        <w:ind w:firstLine="560" w:firstLineChars="200"/>
        <w:jc w:val="left"/>
        <w:rPr>
          <w:rFonts w:ascii="仿宋_GB2312" w:eastAsia="仿宋_GB2312"/>
          <w:sz w:val="28"/>
          <w:szCs w:val="28"/>
        </w:rPr>
      </w:pPr>
      <w:r>
        <w:rPr>
          <w:rFonts w:hint="eastAsia" w:ascii="仿宋_GB2312" w:eastAsia="仿宋_GB2312"/>
          <w:color w:val="auto"/>
          <w:sz w:val="28"/>
          <w:szCs w:val="28"/>
        </w:rPr>
        <w:t>（三）比选人在确定中选人后3个工作日内</w:t>
      </w:r>
      <w:r>
        <w:rPr>
          <w:rFonts w:hint="eastAsia" w:ascii="仿宋_GB2312" w:eastAsia="仿宋_GB2312"/>
          <w:sz w:val="28"/>
          <w:szCs w:val="28"/>
        </w:rPr>
        <w:t>向中选人发出中选通知，由双方协商签订职工补充医疗保险合同。</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比选联系人：程女士；联系人电话为：13551844665。</w:t>
      </w:r>
    </w:p>
    <w:p>
      <w:pPr>
        <w:ind w:firstLine="560" w:firstLineChars="200"/>
        <w:jc w:val="left"/>
        <w:rPr>
          <w:rFonts w:ascii="仿宋_GB2312" w:eastAsia="仿宋_GB2312"/>
          <w:sz w:val="28"/>
          <w:szCs w:val="28"/>
        </w:rPr>
      </w:pPr>
    </w:p>
    <w:p>
      <w:pPr>
        <w:widowControl/>
        <w:jc w:val="left"/>
        <w:rPr>
          <w:rFonts w:ascii="黑体" w:eastAsia="黑体"/>
          <w:sz w:val="36"/>
          <w:szCs w:val="36"/>
        </w:rPr>
      </w:pPr>
      <w:r>
        <w:rPr>
          <w:rFonts w:ascii="黑体" w:eastAsia="黑体"/>
          <w:sz w:val="36"/>
          <w:szCs w:val="36"/>
        </w:rPr>
        <w:br w:type="page"/>
      </w:r>
    </w:p>
    <w:p>
      <w:pPr>
        <w:jc w:val="center"/>
        <w:rPr>
          <w:rFonts w:ascii="黑体" w:eastAsia="黑体"/>
          <w:sz w:val="36"/>
          <w:szCs w:val="36"/>
        </w:rPr>
      </w:pPr>
      <w:r>
        <w:rPr>
          <w:rFonts w:hint="eastAsia" w:ascii="黑体" w:eastAsia="黑体"/>
          <w:sz w:val="36"/>
          <w:szCs w:val="36"/>
        </w:rPr>
        <w:t>第二章 比选申请书的组成及编制要求</w:t>
      </w:r>
    </w:p>
    <w:p>
      <w:pPr>
        <w:ind w:firstLine="560" w:firstLineChars="200"/>
        <w:jc w:val="left"/>
        <w:rPr>
          <w:rFonts w:ascii="黑体" w:eastAsia="黑体"/>
          <w:sz w:val="28"/>
          <w:szCs w:val="28"/>
        </w:rPr>
      </w:pPr>
      <w:r>
        <w:rPr>
          <w:rFonts w:hint="eastAsia" w:ascii="黑体" w:eastAsia="黑体"/>
          <w:sz w:val="28"/>
          <w:szCs w:val="28"/>
        </w:rPr>
        <w:t>一、比选申请书编制说明</w:t>
      </w:r>
    </w:p>
    <w:p>
      <w:pPr>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ind w:firstLine="560" w:firstLineChars="200"/>
        <w:rPr>
          <w:rFonts w:ascii="仿宋_GB2312" w:eastAsia="仿宋_GB2312"/>
          <w:sz w:val="28"/>
          <w:szCs w:val="28"/>
        </w:rPr>
      </w:pPr>
      <w:r>
        <w:rPr>
          <w:rFonts w:hint="eastAsia" w:ascii="仿宋_GB2312" w:eastAsia="仿宋_GB2312"/>
          <w:sz w:val="28"/>
          <w:szCs w:val="28"/>
        </w:rPr>
        <w:t>（一）封面；</w:t>
      </w:r>
    </w:p>
    <w:p>
      <w:pPr>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ind w:firstLine="560" w:firstLineChars="200"/>
        <w:rPr>
          <w:rFonts w:ascii="仿宋_GB2312" w:eastAsia="仿宋_GB2312"/>
          <w:sz w:val="28"/>
          <w:szCs w:val="28"/>
        </w:rPr>
      </w:pPr>
      <w:r>
        <w:rPr>
          <w:rFonts w:hint="eastAsia" w:ascii="仿宋_GB2312" w:eastAsia="仿宋_GB2312"/>
          <w:sz w:val="28"/>
          <w:szCs w:val="28"/>
        </w:rPr>
        <w:t>（四）服务费报价函（须盖章、负责人签字）；</w:t>
      </w:r>
    </w:p>
    <w:p>
      <w:pPr>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ind w:firstLine="560" w:firstLineChars="200"/>
        <w:rPr>
          <w:rFonts w:ascii="仿宋_GB2312" w:eastAsia="仿宋_GB2312"/>
          <w:sz w:val="28"/>
          <w:szCs w:val="28"/>
        </w:rPr>
      </w:pPr>
      <w:r>
        <w:rPr>
          <w:rFonts w:hint="eastAsia" w:ascii="仿宋_GB2312" w:eastAsia="仿宋_GB2312"/>
          <w:sz w:val="28"/>
          <w:szCs w:val="28"/>
        </w:rPr>
        <w:t>（六）相关信息（请按比选须知第四项内容准备）；</w:t>
      </w:r>
    </w:p>
    <w:p>
      <w:pPr>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（七）基本业务及业绩简介（须准备能证明相应业绩的原件供核查）；</w:t>
      </w:r>
    </w:p>
    <w:p>
      <w:pPr>
        <w:ind w:firstLine="560" w:firstLineChars="200"/>
        <w:rPr>
          <w:rFonts w:ascii="仿宋_GB2312" w:eastAsia="仿宋_GB2312"/>
          <w:sz w:val="28"/>
          <w:szCs w:val="28"/>
        </w:rPr>
      </w:pPr>
      <w:r>
        <w:rPr>
          <w:rFonts w:hint="eastAsia" w:ascii="仿宋_GB2312" w:eastAsia="仿宋_GB2312"/>
          <w:sz w:val="28"/>
          <w:szCs w:val="28"/>
        </w:rPr>
        <w:t>（八）服务及实施方案简述；</w:t>
      </w:r>
    </w:p>
    <w:p>
      <w:pPr>
        <w:ind w:firstLine="560" w:firstLineChars="200"/>
        <w:rPr>
          <w:rFonts w:ascii="仿宋_GB2312" w:eastAsia="仿宋_GB2312"/>
          <w:sz w:val="28"/>
          <w:szCs w:val="28"/>
        </w:rPr>
      </w:pPr>
      <w:r>
        <w:rPr>
          <w:rFonts w:hint="eastAsia" w:ascii="仿宋_GB2312" w:eastAsia="仿宋_GB2312"/>
          <w:sz w:val="28"/>
          <w:szCs w:val="28"/>
        </w:rPr>
        <w:t>（九）其他需要提供的证明材料。</w:t>
      </w:r>
    </w:p>
    <w:p>
      <w:pPr>
        <w:rPr>
          <w:rFonts w:ascii="黑体" w:hAnsi="新宋体" w:eastAsia="黑体"/>
          <w:b/>
          <w:sz w:val="28"/>
          <w:szCs w:val="28"/>
        </w:rPr>
      </w:pPr>
    </w:p>
    <w:p>
      <w:pPr>
        <w:rPr>
          <w:rFonts w:ascii="仿宋_GB2312" w:hAnsi="宋体" w:eastAsia="仿宋_GB2312"/>
          <w:color w:val="000000"/>
          <w:kern w:val="0"/>
          <w:sz w:val="36"/>
          <w:szCs w:val="36"/>
        </w:rPr>
      </w:pPr>
      <w:r>
        <w:rPr>
          <w:rFonts w:hint="eastAsia" w:ascii="黑体" w:hAnsi="新宋体" w:eastAsia="黑体"/>
          <w:b/>
          <w:sz w:val="28"/>
          <w:szCs w:val="28"/>
        </w:rPr>
        <w:t>（附有关格式）</w:t>
      </w: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6"/>
          <w:szCs w:val="36"/>
        </w:rPr>
        <w:t>格式1</w:t>
      </w:r>
      <w:r>
        <w:rPr>
          <w:rFonts w:hint="eastAsia" w:ascii="仿宋_GB2312" w:hAnsi="宋体" w:eastAsia="仿宋_GB2312"/>
          <w:color w:val="000000"/>
          <w:kern w:val="0"/>
          <w:sz w:val="32"/>
          <w:szCs w:val="32"/>
        </w:rPr>
        <w:t xml:space="preserve"> </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b/>
          <w:color w:val="000000"/>
          <w:kern w:val="0"/>
          <w:sz w:val="44"/>
          <w:szCs w:val="44"/>
        </w:rPr>
        <w:t>都江堰轨道交通有限责任公司</w:t>
      </w: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b/>
          <w:color w:val="000000"/>
          <w:kern w:val="0"/>
          <w:sz w:val="44"/>
          <w:szCs w:val="44"/>
        </w:rPr>
        <w:t>职工补充医疗保险机构比选</w:t>
      </w:r>
    </w:p>
    <w:p>
      <w:pPr>
        <w:autoSpaceDE w:val="0"/>
        <w:autoSpaceDN w:val="0"/>
        <w:adjustRightInd w:val="0"/>
        <w:jc w:val="left"/>
        <w:rPr>
          <w:rFonts w:ascii="仿宋_GB2312" w:hAnsi="宋体" w:eastAsia="仿宋_GB2312"/>
          <w:color w:val="000000"/>
          <w:kern w:val="0"/>
          <w:sz w:val="52"/>
          <w:szCs w:val="52"/>
        </w:rPr>
      </w:pPr>
    </w:p>
    <w:p>
      <w:pPr>
        <w:autoSpaceDE w:val="0"/>
        <w:autoSpaceDN w:val="0"/>
        <w:adjustRightInd w:val="0"/>
        <w:jc w:val="left"/>
        <w:rPr>
          <w:rFonts w:ascii="仿宋_GB2312" w:hAnsi="宋体" w:eastAsia="仿宋_GB2312"/>
          <w:color w:val="000000"/>
          <w:kern w:val="0"/>
          <w:sz w:val="52"/>
          <w:szCs w:val="52"/>
        </w:rPr>
      </w:pPr>
    </w:p>
    <w:p>
      <w:pPr>
        <w:autoSpaceDE w:val="0"/>
        <w:autoSpaceDN w:val="0"/>
        <w:adjustRightInd w:val="0"/>
        <w:jc w:val="center"/>
        <w:rPr>
          <w:rFonts w:ascii="黑体" w:hAnsi="黑体" w:eastAsia="黑体"/>
          <w:color w:val="000000"/>
          <w:kern w:val="0"/>
          <w:sz w:val="84"/>
          <w:szCs w:val="84"/>
        </w:rPr>
      </w:pPr>
      <w:r>
        <w:rPr>
          <w:rFonts w:hint="eastAsia" w:ascii="黑体" w:hAnsi="黑体" w:eastAsia="黑体"/>
          <w:color w:val="000000"/>
          <w:kern w:val="0"/>
          <w:sz w:val="84"/>
          <w:szCs w:val="84"/>
        </w:rPr>
        <w:t>申 请 文 件</w:t>
      </w:r>
    </w:p>
    <w:p>
      <w:pPr>
        <w:autoSpaceDE w:val="0"/>
        <w:autoSpaceDN w:val="0"/>
        <w:adjustRightInd w:val="0"/>
        <w:jc w:val="center"/>
        <w:rPr>
          <w:rFonts w:ascii="仿宋_GB2312" w:hAnsi="宋体" w:eastAsia="仿宋_GB2312"/>
          <w:b/>
          <w:color w:val="000000"/>
          <w:kern w:val="0"/>
          <w:sz w:val="52"/>
          <w:szCs w:val="52"/>
        </w:rPr>
      </w:pPr>
    </w:p>
    <w:p>
      <w:pPr>
        <w:autoSpaceDE w:val="0"/>
        <w:autoSpaceDN w:val="0"/>
        <w:adjustRightInd w:val="0"/>
        <w:jc w:val="center"/>
        <w:rPr>
          <w:rFonts w:ascii="仿宋_GB2312" w:hAnsi="宋体" w:eastAsia="仿宋_GB2312"/>
          <w:color w:val="000000"/>
          <w:kern w:val="0"/>
          <w:sz w:val="52"/>
          <w:szCs w:val="52"/>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参选人：</w:t>
      </w:r>
      <w:r>
        <w:rPr>
          <w:rFonts w:ascii="Times New Roman" w:hAnsi="Times New Roman" w:eastAsia="黑体" w:cs="Times New Roman"/>
          <w:color w:val="000000"/>
          <w:kern w:val="0"/>
          <w:sz w:val="36"/>
          <w:szCs w:val="36"/>
          <w:u w:val="single"/>
        </w:rPr>
        <w:t xml:space="preserve"> （全称并加盖公章）</w:t>
      </w:r>
    </w:p>
    <w:p>
      <w:pPr>
        <w:autoSpaceDE w:val="0"/>
        <w:autoSpaceDN w:val="0"/>
        <w:adjustRightInd w:val="0"/>
        <w:jc w:val="left"/>
        <w:rPr>
          <w:rFonts w:ascii="Times New Roman" w:hAnsi="Times New Roman" w:eastAsia="黑体" w:cs="Times New Roman"/>
          <w:color w:val="000000"/>
          <w:kern w:val="0"/>
          <w:sz w:val="32"/>
          <w:szCs w:val="32"/>
        </w:rPr>
      </w:pPr>
    </w:p>
    <w:p>
      <w:pPr>
        <w:autoSpaceDE w:val="0"/>
        <w:autoSpaceDN w:val="0"/>
        <w:adjustRightInd w:val="0"/>
        <w:ind w:firstLine="2880" w:firstLineChars="90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202</w:t>
      </w:r>
      <w:r>
        <w:rPr>
          <w:rFonts w:hint="eastAsia" w:ascii="Times New Roman" w:hAnsi="Times New Roman" w:eastAsia="黑体" w:cs="Times New Roman"/>
          <w:color w:val="000000"/>
          <w:kern w:val="0"/>
          <w:sz w:val="32"/>
          <w:szCs w:val="32"/>
        </w:rPr>
        <w:t>1</w:t>
      </w:r>
      <w:r>
        <w:rPr>
          <w:rFonts w:ascii="Times New Roman" w:hAnsi="Times New Roman" w:eastAsia="黑体" w:cs="Times New Roman"/>
          <w:color w:val="000000"/>
          <w:kern w:val="0"/>
          <w:sz w:val="32"/>
          <w:szCs w:val="32"/>
        </w:rPr>
        <w:t>年   月    日</w:t>
      </w:r>
    </w:p>
    <w:p>
      <w:pPr>
        <w:autoSpaceDE w:val="0"/>
        <w:autoSpaceDN w:val="0"/>
        <w:adjustRightInd w:val="0"/>
        <w:ind w:firstLine="2880" w:firstLineChars="900"/>
        <w:jc w:val="left"/>
        <w:rPr>
          <w:rFonts w:ascii="方正小标宋简体" w:hAnsi="宋体" w:eastAsia="方正小标宋简体" w:cs="仿宋_GB2312"/>
          <w:color w:val="000000"/>
          <w:kern w:val="0"/>
          <w:sz w:val="32"/>
          <w:szCs w:val="32"/>
        </w:rPr>
      </w:pPr>
    </w:p>
    <w:p>
      <w:pPr>
        <w:autoSpaceDE w:val="0"/>
        <w:autoSpaceDN w:val="0"/>
        <w:adjustRightInd w:val="0"/>
        <w:ind w:firstLine="2160" w:firstLineChars="900"/>
        <w:jc w:val="left"/>
        <w:rPr>
          <w:rFonts w:ascii="仿宋_GB2312" w:hAnsi="宋体" w:eastAsia="仿宋_GB2312" w:cs="宋体"/>
          <w:color w:val="000000"/>
          <w:kern w:val="0"/>
          <w:sz w:val="24"/>
        </w:rPr>
      </w:pPr>
    </w:p>
    <w:p>
      <w:pPr>
        <w:autoSpaceDE w:val="0"/>
        <w:autoSpaceDN w:val="0"/>
        <w:adjustRightInd w:val="0"/>
        <w:rPr>
          <w:rFonts w:ascii="仿宋_GB2312" w:hAnsi="宋体" w:eastAsia="仿宋_GB2312"/>
          <w:color w:val="000000"/>
          <w:kern w:val="0"/>
          <w:sz w:val="36"/>
          <w:szCs w:val="36"/>
        </w:rPr>
      </w:pP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格式2            </w:t>
      </w:r>
    </w:p>
    <w:p>
      <w:pPr>
        <w:autoSpaceDE w:val="0"/>
        <w:autoSpaceDN w:val="0"/>
        <w:adjustRightInd w:val="0"/>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360" w:lineRule="auto"/>
        <w:ind w:firstLine="640" w:firstLineChars="200"/>
        <w:jc w:val="left"/>
        <w:rPr>
          <w:rFonts w:ascii="仿宋_GB2312" w:hAnsi="宋体" w:eastAsia="仿宋_GB2312" w:cs="仿宋_GB2312"/>
          <w:color w:val="000000"/>
          <w:kern w:val="0"/>
          <w:sz w:val="32"/>
          <w:szCs w:val="32"/>
        </w:rPr>
      </w:pPr>
    </w:p>
    <w:p>
      <w:pPr>
        <w:autoSpaceDE w:val="0"/>
        <w:autoSpaceDN w:val="0"/>
        <w:adjustRightInd w:val="0"/>
        <w:snapToGri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本授权委托书声明：我</w:t>
      </w:r>
      <w:r>
        <w:rPr>
          <w:rFonts w:hint="eastAsia" w:ascii="仿宋" w:hAnsi="仿宋" w:eastAsia="仿宋" w:cs="仿宋"/>
          <w:color w:val="000000"/>
          <w:kern w:val="0"/>
          <w:sz w:val="32"/>
          <w:szCs w:val="32"/>
          <w:u w:val="single"/>
        </w:rPr>
        <w:t>（姓名）</w:t>
      </w:r>
      <w:r>
        <w:rPr>
          <w:rFonts w:hint="eastAsia" w:ascii="仿宋" w:hAnsi="仿宋" w:eastAsia="仿宋" w:cs="仿宋"/>
          <w:color w:val="000000"/>
          <w:kern w:val="0"/>
          <w:sz w:val="32"/>
          <w:szCs w:val="32"/>
        </w:rPr>
        <w:t>系</w:t>
      </w:r>
      <w:r>
        <w:rPr>
          <w:rFonts w:hint="eastAsia" w:ascii="仿宋" w:hAnsi="仿宋" w:eastAsia="仿宋" w:cs="仿宋"/>
          <w:color w:val="000000"/>
          <w:kern w:val="0"/>
          <w:sz w:val="32"/>
          <w:szCs w:val="32"/>
          <w:u w:val="single"/>
        </w:rPr>
        <w:t>（参选人）</w:t>
      </w:r>
      <w:r>
        <w:rPr>
          <w:rFonts w:hint="eastAsia" w:ascii="仿宋" w:hAnsi="仿宋" w:eastAsia="仿宋" w:cs="仿宋"/>
          <w:color w:val="000000"/>
          <w:kern w:val="0"/>
          <w:sz w:val="32"/>
          <w:szCs w:val="32"/>
        </w:rPr>
        <w:t>的负责人，现委托</w:t>
      </w:r>
      <w:r>
        <w:rPr>
          <w:rFonts w:hint="eastAsia" w:ascii="仿宋" w:hAnsi="仿宋" w:eastAsia="仿宋" w:cs="仿宋"/>
          <w:color w:val="000000"/>
          <w:kern w:val="0"/>
          <w:sz w:val="32"/>
          <w:szCs w:val="32"/>
          <w:u w:val="single"/>
        </w:rPr>
        <w:t>（姓名）</w:t>
      </w:r>
      <w:r>
        <w:rPr>
          <w:rFonts w:hint="eastAsia" w:ascii="仿宋" w:hAnsi="仿宋" w:eastAsia="仿宋" w:cs="仿宋"/>
          <w:color w:val="000000"/>
          <w:kern w:val="0"/>
          <w:sz w:val="32"/>
          <w:szCs w:val="32"/>
        </w:rPr>
        <w:t xml:space="preserve"> 为代理人，以本公司的名义参加都江堰轨道交通有限责任公司补充医疗保险的比选活动。委托代理人在本次比选活动和委托代理合同谈判过程中所签署的一切文件和处理与之有关的一切事务，我及本公司均予以承认并承担全部法律责任。</w:t>
      </w:r>
    </w:p>
    <w:p>
      <w:pPr>
        <w:tabs>
          <w:tab w:val="right" w:pos="8306"/>
        </w:tabs>
        <w:autoSpaceDE w:val="0"/>
        <w:autoSpaceDN w:val="0"/>
        <w:adjustRightInd w:val="0"/>
        <w:snapToGri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委托代理人无转委托权。特此委托。</w:t>
      </w:r>
      <w:r>
        <w:rPr>
          <w:rFonts w:hint="eastAsia" w:ascii="仿宋" w:hAnsi="仿宋" w:eastAsia="仿宋" w:cs="仿宋"/>
          <w:color w:val="000000"/>
          <w:kern w:val="0"/>
          <w:sz w:val="32"/>
          <w:szCs w:val="32"/>
        </w:rPr>
        <w:tab/>
      </w:r>
    </w:p>
    <w:p>
      <w:pPr>
        <w:autoSpaceDE w:val="0"/>
        <w:autoSpaceDN w:val="0"/>
        <w:adjustRightInd w:val="0"/>
        <w:snapToGrid w:val="0"/>
        <w:spacing w:line="360" w:lineRule="auto"/>
        <w:ind w:firstLine="4800" w:firstLineChars="1500"/>
        <w:jc w:val="left"/>
        <w:rPr>
          <w:rFonts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（盖章）</w:t>
      </w:r>
    </w:p>
    <w:p>
      <w:pPr>
        <w:autoSpaceDE w:val="0"/>
        <w:autoSpaceDN w:val="0"/>
        <w:adjustRightInd w:val="0"/>
        <w:snapToGrid w:val="0"/>
        <w:spacing w:line="360" w:lineRule="auto"/>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负责人: </w:t>
      </w:r>
      <w:r>
        <w:rPr>
          <w:rFonts w:hint="eastAsia" w:ascii="仿宋" w:hAnsi="仿宋" w:eastAsia="仿宋" w:cs="仿宋"/>
          <w:color w:val="000000"/>
          <w:kern w:val="0"/>
          <w:sz w:val="32"/>
          <w:szCs w:val="32"/>
          <w:u w:val="single"/>
        </w:rPr>
        <w:t xml:space="preserve">（签字） </w:t>
      </w:r>
      <w:r>
        <w:rPr>
          <w:rFonts w:hint="eastAsia" w:ascii="仿宋" w:hAnsi="仿宋" w:eastAsia="仿宋" w:cs="仿宋"/>
          <w:color w:val="000000"/>
          <w:kern w:val="0"/>
          <w:sz w:val="32"/>
          <w:szCs w:val="32"/>
        </w:rPr>
        <w:t xml:space="preserve">  </w:t>
      </w:r>
    </w:p>
    <w:p>
      <w:pPr>
        <w:autoSpaceDE w:val="0"/>
        <w:autoSpaceDN w:val="0"/>
        <w:adjustRightInd w:val="0"/>
        <w:snapToGri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ascii="方正仿宋简体" w:hAnsi="宋体" w:eastAsia="方正仿宋简体" w:cs="仿宋_GB2312"/>
          <w:color w:val="000000"/>
          <w:kern w:val="0"/>
          <w:sz w:val="32"/>
          <w:szCs w:val="32"/>
          <w:u w:val="single"/>
        </w:rPr>
      </w:pPr>
      <w:r>
        <w:rPr>
          <w:rFonts w:hint="eastAsia" w:ascii="仿宋" w:hAnsi="仿宋" w:eastAsia="仿宋" w:cs="仿宋"/>
          <w:color w:val="000000"/>
          <w:kern w:val="0"/>
          <w:sz w:val="32"/>
          <w:szCs w:val="32"/>
        </w:rPr>
        <w:t>受托人：（签字）</w:t>
      </w:r>
    </w:p>
    <w:p>
      <w:pPr>
        <w:autoSpaceDE w:val="0"/>
        <w:autoSpaceDN w:val="0"/>
        <w:adjustRightInd w:val="0"/>
        <w:snapToGrid w:val="0"/>
        <w:spacing w:line="360" w:lineRule="auto"/>
        <w:jc w:val="left"/>
        <w:rPr>
          <w:rFonts w:ascii="方正仿宋简体" w:hAnsi="宋体" w:eastAsia="方正仿宋简体" w:cs="仿宋_GB2312"/>
          <w:color w:val="000000"/>
          <w:kern w:val="0"/>
          <w:sz w:val="32"/>
          <w:szCs w:val="32"/>
          <w:u w:val="single"/>
        </w:rPr>
      </w:pPr>
    </w:p>
    <w:p>
      <w:pPr>
        <w:autoSpaceDE w:val="0"/>
        <w:autoSpaceDN w:val="0"/>
        <w:adjustRightInd w:val="0"/>
        <w:snapToGrid w:val="0"/>
        <w:spacing w:line="360" w:lineRule="auto"/>
        <w:ind w:firstLine="4480" w:firstLineChars="14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日期：   年  月   日</w:t>
      </w:r>
    </w:p>
    <w:p>
      <w:pPr>
        <w:autoSpaceDE w:val="0"/>
        <w:autoSpaceDN w:val="0"/>
        <w:adjustRightInd w:val="0"/>
        <w:snapToGri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注：附委托人及委托代理人身份证复印件。参选人的负责人亲自参加比选活动的，无需要提供此文件。</w:t>
      </w:r>
    </w:p>
    <w:p>
      <w:pPr>
        <w:autoSpaceDE w:val="0"/>
        <w:autoSpaceDN w:val="0"/>
        <w:adjustRightInd w:val="0"/>
        <w:rPr>
          <w:rFonts w:ascii="仿宋_GB2312" w:hAnsi="宋体" w:eastAsia="仿宋_GB2312"/>
          <w:color w:val="000000"/>
          <w:kern w:val="0"/>
          <w:sz w:val="36"/>
          <w:szCs w:val="36"/>
        </w:r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格式3</w:t>
      </w:r>
    </w:p>
    <w:p>
      <w:pPr>
        <w:autoSpaceDE w:val="0"/>
        <w:autoSpaceDN w:val="0"/>
        <w:adjustRightInd w:val="0"/>
        <w:jc w:val="center"/>
        <w:rPr>
          <w:rFonts w:ascii="黑体" w:hAnsi="黑体" w:eastAsia="黑体"/>
          <w:b/>
          <w:color w:val="000000"/>
          <w:kern w:val="0"/>
          <w:sz w:val="44"/>
          <w:szCs w:val="44"/>
        </w:rPr>
      </w:pPr>
      <w:r>
        <w:rPr>
          <w:rFonts w:hint="eastAsia" w:ascii="黑体" w:hAnsi="黑体" w:eastAsia="黑体"/>
          <w:color w:val="000000"/>
          <w:kern w:val="0"/>
          <w:sz w:val="44"/>
          <w:szCs w:val="44"/>
        </w:rPr>
        <w:t>补充医疗保险服务费报价函</w:t>
      </w:r>
    </w:p>
    <w:p>
      <w:pPr>
        <w:autoSpaceDE w:val="0"/>
        <w:autoSpaceDN w:val="0"/>
        <w:adjustRightInd w:val="0"/>
        <w:spacing w:line="480" w:lineRule="auto"/>
        <w:ind w:firstLine="480" w:firstLineChars="200"/>
        <w:jc w:val="left"/>
        <w:rPr>
          <w:rFonts w:ascii="黑体" w:hAnsi="黑体" w:eastAsia="黑体"/>
          <w:color w:val="000000"/>
          <w:kern w:val="0"/>
          <w:sz w:val="24"/>
        </w:rPr>
      </w:pPr>
    </w:p>
    <w:p>
      <w:pPr>
        <w:autoSpaceDE w:val="0"/>
        <w:autoSpaceDN w:val="0"/>
        <w:adjustRightInd w:val="0"/>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adjustRightIn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本公司仔细研究了比选文件和项目的基本情况，根据本项目的实际情况，本公司为贵公司提供补充医疗保险服务费（含税包干价）为：     人民币万元（大写：    万元整）。</w:t>
      </w:r>
    </w:p>
    <w:p>
      <w:pPr>
        <w:autoSpaceDE w:val="0"/>
        <w:autoSpaceDN w:val="0"/>
        <w:adjustRightInd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u w:val="single"/>
        </w:rPr>
        <w:t>是/否</w:t>
      </w:r>
      <w:r>
        <w:rPr>
          <w:rFonts w:hint="eastAsia" w:ascii="仿宋" w:hAnsi="仿宋" w:eastAsia="仿宋" w:cs="仿宋"/>
          <w:color w:val="000000"/>
          <w:kern w:val="0"/>
          <w:sz w:val="32"/>
          <w:szCs w:val="32"/>
        </w:rPr>
        <w:t>愿意接受价格调整或支付方式调整）</w:t>
      </w:r>
    </w:p>
    <w:p>
      <w:pPr>
        <w:autoSpaceDE w:val="0"/>
        <w:autoSpaceDN w:val="0"/>
        <w:adjustRightInd w:val="0"/>
        <w:spacing w:line="360" w:lineRule="auto"/>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160" w:firstLineChars="1300"/>
        <w:jc w:val="left"/>
        <w:rPr>
          <w:rFonts w:ascii="方正仿宋简体" w:hAnsi="宋体" w:eastAsia="方正仿宋简体" w:cs="仿宋_GB2312"/>
          <w:color w:val="000000"/>
          <w:kern w:val="0"/>
          <w:sz w:val="32"/>
          <w:szCs w:val="32"/>
        </w:rPr>
      </w:pPr>
    </w:p>
    <w:p>
      <w:pPr>
        <w:autoSpaceDE w:val="0"/>
        <w:autoSpaceDN w:val="0"/>
        <w:adjustRightInd w:val="0"/>
        <w:spacing w:line="360" w:lineRule="auto"/>
        <w:ind w:firstLine="4800" w:firstLineChars="15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参选人：（全称）</w:t>
      </w:r>
    </w:p>
    <w:p>
      <w:pPr>
        <w:autoSpaceDE w:val="0"/>
        <w:autoSpaceDN w:val="0"/>
        <w:adjustRightInd w:val="0"/>
        <w:spacing w:line="360" w:lineRule="auto"/>
        <w:ind w:firstLine="2560" w:firstLineChars="8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负责人或委托代理人：（  签字  ）   </w:t>
      </w:r>
    </w:p>
    <w:p>
      <w:pPr>
        <w:autoSpaceDE w:val="0"/>
        <w:autoSpaceDN w:val="0"/>
        <w:adjustRightInd w:val="0"/>
        <w:spacing w:line="360" w:lineRule="auto"/>
        <w:ind w:firstLine="640" w:firstLineChars="200"/>
        <w:jc w:val="left"/>
        <w:rPr>
          <w:rFonts w:ascii="仿宋" w:hAnsi="仿宋" w:eastAsia="仿宋" w:cs="仿宋"/>
          <w:color w:val="000000"/>
          <w:kern w:val="0"/>
          <w:sz w:val="32"/>
          <w:szCs w:val="32"/>
        </w:rPr>
      </w:pPr>
    </w:p>
    <w:p>
      <w:pPr>
        <w:autoSpaceDE w:val="0"/>
        <w:autoSpaceDN w:val="0"/>
        <w:adjustRightInd w:val="0"/>
        <w:spacing w:line="360" w:lineRule="auto"/>
        <w:ind w:firstLine="3840" w:firstLineChars="1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2021年   月    日</w:t>
      </w:r>
    </w:p>
    <w:p>
      <w:pPr>
        <w:autoSpaceDE w:val="0"/>
        <w:autoSpaceDN w:val="0"/>
        <w:adjustRightInd w:val="0"/>
        <w:jc w:val="left"/>
        <w:rPr>
          <w:rFonts w:ascii="方正仿宋简体" w:hAnsi="宋体" w:eastAsia="方正仿宋简体" w:cs="宋体"/>
          <w:kern w:val="0"/>
          <w:sz w:val="28"/>
          <w:szCs w:val="28"/>
        </w:rPr>
      </w:pPr>
    </w:p>
    <w:p>
      <w:pPr>
        <w:autoSpaceDE w:val="0"/>
        <w:autoSpaceDN w:val="0"/>
        <w:adjustRightInd w:val="0"/>
        <w:jc w:val="left"/>
        <w:rPr>
          <w:rFonts w:ascii="仿宋_GB2312" w:hAnsi="宋体" w:eastAsia="仿宋_GB2312" w:cs="仿宋_GB2312"/>
          <w:color w:val="000000"/>
          <w:kern w:val="0"/>
          <w:sz w:val="24"/>
        </w:rPr>
      </w:pPr>
      <w:r>
        <w:rPr>
          <w:rFonts w:ascii="仿宋_GB2312" w:hAnsi="宋体" w:eastAsia="仿宋_GB2312"/>
          <w:color w:val="000000"/>
          <w:kern w:val="0"/>
          <w:sz w:val="36"/>
          <w:szCs w:val="36"/>
        </w:rPr>
        <w:br w:type="page"/>
      </w:r>
    </w:p>
    <w:p>
      <w:pPr>
        <w:autoSpaceDE w:val="0"/>
        <w:autoSpaceDN w:val="0"/>
        <w:adjustRightInd w:val="0"/>
        <w:spacing w:line="360" w:lineRule="auto"/>
        <w:jc w:val="left"/>
        <w:rPr>
          <w:rFonts w:ascii="仿宋_GB2312" w:hAnsi="宋体" w:eastAsia="仿宋_GB2312" w:cs="仿宋_GB2312"/>
          <w:color w:val="000000"/>
          <w:kern w:val="0"/>
          <w:sz w:val="24"/>
        </w:rPr>
      </w:pPr>
      <w:r>
        <w:rPr>
          <w:rFonts w:hint="eastAsia" w:ascii="仿宋_GB2312" w:hAnsi="宋体" w:eastAsia="仿宋_GB2312"/>
          <w:color w:val="000000"/>
          <w:kern w:val="0"/>
          <w:sz w:val="36"/>
          <w:szCs w:val="36"/>
        </w:rPr>
        <w:t>格式4</w:t>
      </w:r>
    </w:p>
    <w:p>
      <w:pPr>
        <w:autoSpaceDE w:val="0"/>
        <w:autoSpaceDN w:val="0"/>
        <w:adjustRightInd w:val="0"/>
        <w:jc w:val="left"/>
        <w:rPr>
          <w:rFonts w:ascii="仿宋_GB2312" w:hAnsi="宋体" w:eastAsia="仿宋_GB2312" w:cs="仿宋_GB2312"/>
          <w:color w:val="000000"/>
          <w:kern w:val="0"/>
          <w:sz w:val="24"/>
        </w:rPr>
      </w:pPr>
    </w:p>
    <w:tbl>
      <w:tblPr>
        <w:tblStyle w:val="10"/>
        <w:tblW w:w="8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1104"/>
        <w:gridCol w:w="1526"/>
        <w:gridCol w:w="2959"/>
        <w:gridCol w:w="1492"/>
        <w:gridCol w:w="12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4" w:hRule="atLeast"/>
        </w:trPr>
        <w:tc>
          <w:tcPr>
            <w:tcW w:w="8376" w:type="dxa"/>
            <w:gridSpan w:val="5"/>
            <w:tcBorders>
              <w:bottom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40"/>
                <w:szCs w:val="40"/>
              </w:rPr>
            </w:pPr>
            <w:r>
              <w:rPr>
                <w:rFonts w:hint="eastAsia" w:ascii="宋体" w:hAnsi="宋体" w:cs="宋体"/>
                <w:color w:val="000000"/>
                <w:kern w:val="0"/>
                <w:sz w:val="40"/>
                <w:szCs w:val="40"/>
                <w:lang w:bidi="ar"/>
              </w:rPr>
              <w:t>团体保险被保险人清单报价明细表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trPr>
        <w:tc>
          <w:tcPr>
            <w:tcW w:w="0" w:type="auto"/>
            <w:gridSpan w:val="2"/>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保险项目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保险责任简要描述</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保险金额</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restart"/>
            <w:tcBorders>
              <w:top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意外保障</w:t>
            </w:r>
          </w:p>
        </w:tc>
        <w:tc>
          <w:tcPr>
            <w:tcW w:w="16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意外身故</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被保险人因遭受意外伤害导致身故，赔付约定保险金额。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意外残疾</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被保险人因遭受意外伤害导致残疾，按残疾程度比例赔付，最高赔金额等于保险金额。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意外医疗</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因遭受意外事故并在医院进行治疗的，符合当地社会基本医疗保险规定的合理医疗费用，免赔额0元，按100%比例报销。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航空公共交通工具</w:t>
            </w:r>
          </w:p>
        </w:tc>
        <w:tc>
          <w:tcPr>
            <w:tcW w:w="30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以乘客身份乘坐航空公共交通工具飞机、轨道公共交通工具轮船、水上公共交通工具轨道交通、公共汽车交通工具（含网约车）营运车辆，驾驶或乘坐II类交通工具（含私家车、租用车、单位公务及商务用车）自驾车，因交通意外事故导致的意外身故保险公司按照对应交通工具保险金额给付，因交通意外伤害事故导致伤残，按其伤残等级对应的给付比例乘以对应交通工具伤残保险金额给付意外伤残保险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轨道公共交通工具</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水上公共交通工具</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公共汽车交通工具</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II类交通工具</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（含私家车、租用车、单位公务及商务用车）</w:t>
            </w:r>
          </w:p>
        </w:tc>
        <w:tc>
          <w:tcPr>
            <w:tcW w:w="30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trPr>
        <w:tc>
          <w:tcPr>
            <w:tcW w:w="0" w:type="auto"/>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疾病保障</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疾病身故</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被保险人因疾病导致身故，赔付约定保险金额。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住院医疗</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因意外或疾病住院发生的合理医疗费用经社保报销后，剩余部分免赔额0元，报销比例100%。包含乙类自部分。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门诊医疗</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因意外或疾病门诊发生的合理医疗费用，单次免赔额0元，按100%比例报销。包含乙类自费部分。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住院津贴</w:t>
            </w: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住院津贴保险金：因疾病或意外住院治疗的，按实际住院天数减去0天免赔，单次限90天，全年限180天。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400元/天</w:t>
            </w:r>
          </w:p>
        </w:tc>
        <w:tc>
          <w:tcPr>
            <w:tcW w:w="1067" w:type="dxa"/>
            <w:vMerge w:val="restar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0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住院重症监护病房补贴保险金：在重症监护病房住院，双倍赔付，每人每年累计以30天为限。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067" w:type="dxa"/>
            <w:vMerge w:val="continue"/>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5" w:hRule="atLeast"/>
        </w:trPr>
        <w:tc>
          <w:tcPr>
            <w:tcW w:w="0" w:type="auto"/>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重大疾病</w:t>
            </w:r>
          </w:p>
        </w:tc>
        <w:tc>
          <w:tcPr>
            <w:tcW w:w="308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被保险人在观察期后，初次确诊罹患33种重大疾病，一次性给付重疾保险金。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30万元</w:t>
            </w:r>
          </w:p>
        </w:tc>
        <w:tc>
          <w:tcPr>
            <w:tcW w:w="1067"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9" w:hRule="atLeast"/>
        </w:trPr>
        <w:tc>
          <w:tcPr>
            <w:tcW w:w="0" w:type="auto"/>
            <w:tcBorders>
              <w:top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医疗基金</w:t>
            </w:r>
          </w:p>
        </w:tc>
        <w:tc>
          <w:tcPr>
            <w:tcW w:w="1606"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lang w:bidi="ar"/>
              </w:rPr>
            </w:pPr>
            <w:r>
              <w:rPr>
                <w:rFonts w:hint="eastAsia"/>
              </w:rPr>
              <w:t>员工医疗基金管理费报价</w:t>
            </w:r>
          </w:p>
        </w:tc>
        <w:tc>
          <w:tcPr>
            <w:tcW w:w="3087"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2"/>
                <w:lang w:bidi="ar"/>
              </w:rPr>
            </w:pPr>
          </w:p>
        </w:tc>
        <w:tc>
          <w:tcPr>
            <w:tcW w:w="0" w:type="auto"/>
            <w:tcBorders>
              <w:top w:val="single" w:color="000000" w:sz="4" w:space="0"/>
              <w:left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2"/>
                <w:lang w:bidi="ar"/>
              </w:rPr>
            </w:pPr>
          </w:p>
        </w:tc>
        <w:tc>
          <w:tcPr>
            <w:tcW w:w="1067" w:type="dxa"/>
            <w:tcBorders>
              <w:top w:val="single" w:color="000000" w:sz="4" w:space="0"/>
              <w:lef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rPr>
            </w:pPr>
          </w:p>
        </w:tc>
      </w:tr>
    </w:tbl>
    <w:p>
      <w:pPr>
        <w:widowControl/>
        <w:textAlignment w:val="center"/>
        <w:rPr>
          <w:rFonts w:ascii="Times New Roman" w:hAnsi="Times New Roman" w:cs="Times New Roman"/>
          <w:sz w:val="28"/>
          <w:szCs w:val="32"/>
        </w:rPr>
      </w:pPr>
      <w:r>
        <w:rPr>
          <w:rFonts w:ascii="Times New Roman" w:hAnsi="Times New Roman" w:cs="Times New Roman"/>
          <w:sz w:val="28"/>
          <w:szCs w:val="32"/>
        </w:rPr>
        <w:t>备注：以上保险金额为最低标准，各参选人不得低于此标准，员工团体福利保险不得超过限价2000元/人·年，</w:t>
      </w:r>
      <w:r>
        <w:rPr>
          <w:rFonts w:hint="eastAsia" w:ascii="Times New Roman" w:hAnsi="Times New Roman" w:cs="Times New Roman"/>
          <w:sz w:val="28"/>
          <w:szCs w:val="32"/>
        </w:rPr>
        <w:t>员工医疗基金管理费</w:t>
      </w:r>
      <w:r>
        <w:rPr>
          <w:rFonts w:hint="eastAsia" w:ascii="Times New Roman" w:hAnsi="Times New Roman" w:cs="Times New Roman"/>
          <w:sz w:val="28"/>
          <w:szCs w:val="32"/>
          <w:lang w:eastAsia="zh-CN"/>
        </w:rPr>
        <w:t>比例不得超过</w:t>
      </w:r>
      <w:r>
        <w:rPr>
          <w:rFonts w:hint="eastAsia" w:ascii="Times New Roman" w:hAnsi="Times New Roman" w:cs="Times New Roman"/>
          <w:sz w:val="28"/>
          <w:szCs w:val="32"/>
          <w:lang w:val="en-US" w:eastAsia="zh-CN"/>
        </w:rPr>
        <w:t>2.5%，</w:t>
      </w:r>
      <w:r>
        <w:rPr>
          <w:rFonts w:hint="eastAsia" w:ascii="Times New Roman" w:hAnsi="Times New Roman" w:cs="Times New Roman"/>
          <w:sz w:val="28"/>
          <w:szCs w:val="32"/>
          <w:lang w:eastAsia="zh-CN"/>
        </w:rPr>
        <w:t>管理费报价不得超过限价</w:t>
      </w:r>
      <w:r>
        <w:rPr>
          <w:rFonts w:hint="eastAsia" w:ascii="Times New Roman" w:hAnsi="Times New Roman" w:cs="Times New Roman"/>
          <w:sz w:val="28"/>
          <w:szCs w:val="32"/>
          <w:lang w:val="en-US" w:eastAsia="zh-CN"/>
        </w:rPr>
        <w:t>11541.72元/年，</w:t>
      </w:r>
      <w:r>
        <w:rPr>
          <w:rFonts w:ascii="Times New Roman" w:hAnsi="Times New Roman" w:cs="Times New Roman"/>
          <w:sz w:val="28"/>
          <w:szCs w:val="32"/>
        </w:rPr>
        <w:t>如未按要求报价，为无效报价。</w:t>
      </w: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格式5</w:t>
      </w:r>
    </w:p>
    <w:p>
      <w:pPr>
        <w:autoSpaceDE w:val="0"/>
        <w:autoSpaceDN w:val="0"/>
        <w:adjustRightInd w:val="0"/>
        <w:spacing w:line="480" w:lineRule="auto"/>
        <w:jc w:val="center"/>
        <w:rPr>
          <w:rFonts w:ascii="黑体" w:hAnsi="宋体" w:eastAsia="黑体"/>
          <w:color w:val="000000"/>
          <w:kern w:val="0"/>
          <w:sz w:val="44"/>
          <w:szCs w:val="44"/>
        </w:rPr>
      </w:pPr>
      <w:r>
        <w:rPr>
          <w:rFonts w:hint="eastAsia" w:ascii="黑体" w:hAnsi="宋体" w:eastAsia="黑体"/>
          <w:color w:val="000000"/>
          <w:kern w:val="0"/>
          <w:sz w:val="44"/>
          <w:szCs w:val="44"/>
        </w:rPr>
        <w:t>申 请 书</w:t>
      </w:r>
    </w:p>
    <w:p>
      <w:pPr>
        <w:autoSpaceDE w:val="0"/>
        <w:autoSpaceDN w:val="0"/>
        <w:spacing w:line="360" w:lineRule="auto"/>
        <w:jc w:val="left"/>
        <w:rPr>
          <w:rFonts w:ascii="仿宋_GB2312" w:hAnsi="宋体" w:eastAsia="仿宋_GB2312" w:cs="仿宋_GB2312"/>
          <w:color w:val="000000"/>
          <w:kern w:val="0"/>
          <w:sz w:val="28"/>
          <w:szCs w:val="28"/>
        </w:rPr>
      </w:pPr>
    </w:p>
    <w:p>
      <w:pPr>
        <w:autoSpaceDE w:val="0"/>
        <w:autoSpaceDN w:val="0"/>
        <w:spacing w:line="360" w:lineRule="auto"/>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sz w:val="32"/>
          <w:szCs w:val="32"/>
        </w:rPr>
        <w:t>本公司在认真研究了</w:t>
      </w:r>
      <w:r>
        <w:rPr>
          <w:rFonts w:hint="eastAsia" w:ascii="仿宋" w:hAnsi="仿宋" w:eastAsia="仿宋" w:cs="仿宋"/>
          <w:color w:val="000000"/>
          <w:kern w:val="0"/>
          <w:sz w:val="32"/>
          <w:szCs w:val="32"/>
        </w:rPr>
        <w:t>都江堰轨道交通有限责任</w:t>
      </w:r>
      <w:r>
        <w:rPr>
          <w:rFonts w:hint="eastAsia" w:ascii="仿宋" w:hAnsi="仿宋" w:eastAsia="仿宋" w:cs="仿宋"/>
          <w:color w:val="000000"/>
          <w:sz w:val="32"/>
          <w:szCs w:val="32"/>
        </w:rPr>
        <w:t>公司补充医疗保险比选文件后，愿意按比选文件要求承担贵公司补充医疗保险工作，决定参加本次比选。</w:t>
      </w:r>
      <w:r>
        <w:rPr>
          <w:rFonts w:hint="eastAsia" w:ascii="仿宋" w:hAnsi="仿宋" w:eastAsia="仿宋" w:cs="仿宋"/>
          <w:color w:val="000000"/>
          <w:kern w:val="0"/>
          <w:sz w:val="32"/>
          <w:szCs w:val="32"/>
        </w:rPr>
        <w:t>现正式向贵公司提出参选。</w:t>
      </w:r>
    </w:p>
    <w:p>
      <w:pPr>
        <w:autoSpaceDE w:val="0"/>
        <w:autoSpaceDN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二、本公司保证参选文件系真实和合法的。贵方或授权代表可对本公司进行查询或调查，以证实参选文件有关声明、文件和资料的真实性。</w:t>
      </w:r>
    </w:p>
    <w:p>
      <w:pPr>
        <w:autoSpaceDE w:val="0"/>
        <w:autoSpaceDN w:val="0"/>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三、本公司完全理解本次比选并非最低价中选，并知晓比选人有权取消比选以及拒绝所有比选参选文件，且无需对此类行为承担任何责任或作出解释。</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本参选文件的有效期自本参选文件递交之日起至贵方关于本次补充医疗保险比选的中选通知书发出之日止。在此期限届满之前，本参选文件始终对我方具有约束力，我方将严格遵守参选文件的各项承诺，随时接受中选。</w:t>
      </w:r>
    </w:p>
    <w:p>
      <w:pPr>
        <w:autoSpaceDE w:val="0"/>
        <w:autoSpaceDN w:val="0"/>
        <w:adjustRightInd w:val="0"/>
        <w:spacing w:before="100" w:beforeAutospacing="1" w:after="100" w:afterAutospacing="1" w:line="480" w:lineRule="auto"/>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参选人：</w:t>
      </w:r>
    </w:p>
    <w:p>
      <w:pPr>
        <w:autoSpaceDE w:val="0"/>
        <w:autoSpaceDN w:val="0"/>
        <w:adjustRightInd w:val="0"/>
        <w:spacing w:before="100" w:beforeAutospacing="1" w:after="100" w:afterAutospacing="1" w:line="480" w:lineRule="auto"/>
        <w:ind w:firstLine="3360" w:firstLineChars="1050"/>
        <w:jc w:val="left"/>
        <w:rPr>
          <w:rFonts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160" w:firstLineChars="1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2021年   月   日</w:t>
      </w: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格式6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p>
    <w:p>
      <w:pPr>
        <w:pStyle w:val="5"/>
        <w:spacing w:line="240" w:lineRule="exact"/>
        <w:jc w:val="center"/>
        <w:rPr>
          <w:rFonts w:ascii="仿宋_GB2312" w:hAnsi="宋体"/>
        </w:rPr>
      </w:pPr>
    </w:p>
    <w:p>
      <w:pPr>
        <w:pStyle w:val="5"/>
        <w:spacing w:line="240" w:lineRule="exact"/>
        <w:jc w:val="center"/>
        <w:rPr>
          <w:rFonts w:ascii="仿宋_GB2312" w:hAnsi="宋体"/>
        </w:rPr>
      </w:pP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310" w:type="dxa"/>
            <w:vAlign w:val="center"/>
          </w:tcPr>
          <w:p>
            <w:pPr>
              <w:pStyle w:val="5"/>
              <w:ind w:firstLine="252" w:firstLineChars="100"/>
              <w:rPr>
                <w:rFonts w:ascii="仿宋" w:hAnsi="仿宋" w:eastAsia="仿宋" w:cs="仿宋"/>
                <w:sz w:val="28"/>
                <w:szCs w:val="28"/>
              </w:rPr>
            </w:pPr>
            <w:r>
              <w:rPr>
                <w:rFonts w:hint="eastAsia" w:ascii="仿宋" w:hAnsi="仿宋" w:eastAsia="仿宋" w:cs="仿宋"/>
                <w:spacing w:val="-14"/>
                <w:sz w:val="28"/>
                <w:szCs w:val="28"/>
              </w:rPr>
              <w:t>参选人名</w:t>
            </w:r>
            <w:r>
              <w:rPr>
                <w:rFonts w:hint="eastAsia" w:ascii="仿宋" w:hAnsi="仿宋" w:eastAsia="仿宋" w:cs="仿宋"/>
                <w:sz w:val="28"/>
                <w:szCs w:val="28"/>
              </w:rPr>
              <w:t>称</w:t>
            </w:r>
          </w:p>
        </w:tc>
        <w:tc>
          <w:tcPr>
            <w:tcW w:w="6636" w:type="dxa"/>
            <w:gridSpan w:val="3"/>
            <w:vAlign w:val="center"/>
          </w:tcPr>
          <w:p>
            <w:pPr>
              <w:pStyle w:val="5"/>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仿宋" w:hAnsi="仿宋" w:eastAsia="仿宋" w:cs="仿宋"/>
                <w:sz w:val="28"/>
                <w:szCs w:val="28"/>
              </w:rPr>
            </w:pPr>
            <w:r>
              <w:rPr>
                <w:rFonts w:hint="eastAsia" w:ascii="仿宋" w:hAnsi="仿宋" w:eastAsia="仿宋" w:cs="仿宋"/>
                <w:sz w:val="28"/>
                <w:szCs w:val="28"/>
              </w:rPr>
              <w:t>住     所</w:t>
            </w:r>
          </w:p>
        </w:tc>
        <w:tc>
          <w:tcPr>
            <w:tcW w:w="6636" w:type="dxa"/>
            <w:gridSpan w:val="3"/>
            <w:vAlign w:val="center"/>
          </w:tcPr>
          <w:p>
            <w:pPr>
              <w:pStyle w:val="5"/>
              <w:keepNext/>
              <w:keepLines/>
              <w:spacing w:before="260" w:after="260" w:line="416"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320" w:firstLineChars="100"/>
              <w:jc w:val="left"/>
              <w:rPr>
                <w:rFonts w:ascii="仿宋" w:hAnsi="仿宋" w:eastAsia="仿宋" w:cs="仿宋"/>
                <w:sz w:val="28"/>
                <w:szCs w:val="28"/>
              </w:rPr>
            </w:pPr>
            <w:r>
              <w:rPr>
                <w:rFonts w:hint="eastAsia" w:ascii="仿宋" w:hAnsi="仿宋" w:eastAsia="仿宋" w:cs="仿宋"/>
                <w:spacing w:val="20"/>
                <w:sz w:val="28"/>
                <w:szCs w:val="28"/>
              </w:rPr>
              <w:t>负责人</w:t>
            </w:r>
          </w:p>
        </w:tc>
        <w:tc>
          <w:tcPr>
            <w:tcW w:w="6636" w:type="dxa"/>
            <w:gridSpan w:val="3"/>
            <w:vAlign w:val="center"/>
          </w:tcPr>
          <w:p>
            <w:pPr>
              <w:pStyle w:val="5"/>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仿宋" w:hAnsi="仿宋" w:eastAsia="仿宋" w:cs="仿宋"/>
                <w:sz w:val="28"/>
                <w:szCs w:val="28"/>
              </w:rPr>
            </w:pPr>
            <w:r>
              <w:rPr>
                <w:rFonts w:hint="eastAsia" w:ascii="仿宋" w:hAnsi="仿宋" w:eastAsia="仿宋" w:cs="仿宋"/>
                <w:sz w:val="28"/>
                <w:szCs w:val="28"/>
              </w:rPr>
              <w:t>信誉情况</w:t>
            </w:r>
          </w:p>
        </w:tc>
        <w:tc>
          <w:tcPr>
            <w:tcW w:w="6636" w:type="dxa"/>
            <w:gridSpan w:val="3"/>
            <w:vAlign w:val="center"/>
          </w:tcPr>
          <w:p>
            <w:pPr>
              <w:pStyle w:val="5"/>
              <w:jc w:val="center"/>
              <w:rPr>
                <w:rFonts w:ascii="仿宋" w:hAnsi="仿宋" w:eastAsia="仿宋" w:cs="仿宋"/>
                <w:sz w:val="28"/>
                <w:szCs w:val="28"/>
              </w:rPr>
            </w:pPr>
            <w:r>
              <w:rPr>
                <w:rFonts w:hint="eastAsia" w:ascii="仿宋" w:hAnsi="仿宋" w:eastAsia="仿宋" w:cs="仿宋"/>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仿宋" w:hAnsi="仿宋" w:eastAsia="仿宋" w:cs="仿宋"/>
                <w:sz w:val="28"/>
                <w:szCs w:val="28"/>
              </w:rPr>
            </w:pPr>
            <w:r>
              <w:rPr>
                <w:rFonts w:hint="eastAsia" w:ascii="仿宋" w:hAnsi="仿宋" w:eastAsia="仿宋" w:cs="仿宋"/>
                <w:sz w:val="28"/>
                <w:szCs w:val="28"/>
              </w:rPr>
              <w:t>成立时间</w:t>
            </w:r>
          </w:p>
        </w:tc>
        <w:tc>
          <w:tcPr>
            <w:tcW w:w="6636" w:type="dxa"/>
            <w:gridSpan w:val="3"/>
            <w:vAlign w:val="center"/>
          </w:tcPr>
          <w:p>
            <w:pPr>
              <w:pStyle w:val="5"/>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jc w:val="left"/>
              <w:rPr>
                <w:rFonts w:ascii="仿宋" w:hAnsi="仿宋" w:eastAsia="仿宋" w:cs="仿宋"/>
                <w:sz w:val="28"/>
                <w:szCs w:val="28"/>
              </w:rPr>
            </w:pPr>
            <w:r>
              <w:rPr>
                <w:rFonts w:hint="eastAsia" w:ascii="仿宋" w:hAnsi="仿宋" w:eastAsia="仿宋" w:cs="仿宋"/>
                <w:sz w:val="28"/>
                <w:szCs w:val="28"/>
              </w:rPr>
              <w:t>注册号</w:t>
            </w:r>
          </w:p>
        </w:tc>
        <w:tc>
          <w:tcPr>
            <w:tcW w:w="2654" w:type="dxa"/>
            <w:vAlign w:val="center"/>
          </w:tcPr>
          <w:p>
            <w:pPr>
              <w:pStyle w:val="5"/>
              <w:jc w:val="center"/>
              <w:rPr>
                <w:rFonts w:ascii="仿宋" w:hAnsi="仿宋" w:eastAsia="仿宋" w:cs="仿宋"/>
                <w:sz w:val="28"/>
                <w:szCs w:val="28"/>
              </w:rPr>
            </w:pPr>
          </w:p>
        </w:tc>
        <w:tc>
          <w:tcPr>
            <w:tcW w:w="1576" w:type="dxa"/>
            <w:vAlign w:val="center"/>
          </w:tcPr>
          <w:p>
            <w:pPr>
              <w:pStyle w:val="5"/>
              <w:jc w:val="center"/>
              <w:rPr>
                <w:rFonts w:ascii="仿宋" w:hAnsi="仿宋" w:eastAsia="仿宋" w:cs="仿宋"/>
                <w:sz w:val="28"/>
                <w:szCs w:val="28"/>
              </w:rPr>
            </w:pPr>
            <w:r>
              <w:rPr>
                <w:rFonts w:hint="eastAsia" w:ascii="仿宋" w:hAnsi="仿宋" w:eastAsia="仿宋" w:cs="仿宋"/>
                <w:sz w:val="28"/>
                <w:szCs w:val="28"/>
              </w:rPr>
              <w:t>邮政编码</w:t>
            </w:r>
          </w:p>
        </w:tc>
        <w:tc>
          <w:tcPr>
            <w:tcW w:w="2406" w:type="dxa"/>
            <w:vAlign w:val="center"/>
          </w:tcPr>
          <w:p>
            <w:pPr>
              <w:pStyle w:val="5"/>
              <w:keepNext/>
              <w:keepLines/>
              <w:spacing w:before="340" w:after="330" w:line="578" w:lineRule="auto"/>
              <w:jc w:val="center"/>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仿宋" w:hAnsi="仿宋" w:eastAsia="仿宋" w:cs="仿宋"/>
                <w:sz w:val="28"/>
                <w:szCs w:val="28"/>
              </w:rPr>
            </w:pPr>
            <w:r>
              <w:rPr>
                <w:rFonts w:hint="eastAsia" w:ascii="仿宋" w:hAnsi="仿宋" w:eastAsia="仿宋" w:cs="仿宋"/>
                <w:sz w:val="28"/>
                <w:szCs w:val="28"/>
              </w:rPr>
              <w:t>电话</w:t>
            </w:r>
          </w:p>
        </w:tc>
        <w:tc>
          <w:tcPr>
            <w:tcW w:w="2654" w:type="dxa"/>
            <w:vAlign w:val="center"/>
          </w:tcPr>
          <w:p>
            <w:pPr>
              <w:pStyle w:val="5"/>
              <w:jc w:val="center"/>
              <w:rPr>
                <w:rFonts w:ascii="仿宋" w:hAnsi="仿宋" w:eastAsia="仿宋" w:cs="仿宋"/>
                <w:sz w:val="28"/>
                <w:szCs w:val="28"/>
              </w:rPr>
            </w:pPr>
          </w:p>
        </w:tc>
        <w:tc>
          <w:tcPr>
            <w:tcW w:w="1576" w:type="dxa"/>
            <w:vAlign w:val="center"/>
          </w:tcPr>
          <w:p>
            <w:pPr>
              <w:pStyle w:val="5"/>
              <w:jc w:val="center"/>
              <w:rPr>
                <w:rFonts w:ascii="仿宋" w:hAnsi="仿宋" w:eastAsia="仿宋" w:cs="仿宋"/>
                <w:sz w:val="28"/>
                <w:szCs w:val="28"/>
              </w:rPr>
            </w:pPr>
            <w:r>
              <w:rPr>
                <w:rFonts w:hint="eastAsia" w:ascii="仿宋" w:hAnsi="仿宋" w:eastAsia="仿宋" w:cs="仿宋"/>
                <w:sz w:val="28"/>
                <w:szCs w:val="28"/>
              </w:rPr>
              <w:t>传真</w:t>
            </w:r>
          </w:p>
        </w:tc>
        <w:tc>
          <w:tcPr>
            <w:tcW w:w="2406" w:type="dxa"/>
            <w:vAlign w:val="center"/>
          </w:tcPr>
          <w:p>
            <w:pPr>
              <w:pStyle w:val="5"/>
              <w:keepNext/>
              <w:keepLines/>
              <w:spacing w:before="340" w:after="330" w:line="578" w:lineRule="auto"/>
              <w:jc w:val="center"/>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5"/>
              <w:ind w:firstLine="280" w:firstLineChars="100"/>
              <w:rPr>
                <w:rFonts w:ascii="仿宋" w:hAnsi="仿宋" w:eastAsia="仿宋" w:cs="仿宋"/>
                <w:sz w:val="28"/>
                <w:szCs w:val="28"/>
              </w:rPr>
            </w:pPr>
            <w:r>
              <w:rPr>
                <w:rFonts w:hint="eastAsia" w:ascii="仿宋" w:hAnsi="仿宋" w:eastAsia="仿宋" w:cs="仿宋"/>
                <w:sz w:val="28"/>
                <w:szCs w:val="28"/>
              </w:rPr>
              <w:t>备注</w:t>
            </w:r>
          </w:p>
        </w:tc>
        <w:tc>
          <w:tcPr>
            <w:tcW w:w="6636" w:type="dxa"/>
            <w:gridSpan w:val="3"/>
            <w:vAlign w:val="center"/>
          </w:tcPr>
          <w:p>
            <w:pPr>
              <w:pStyle w:val="5"/>
              <w:jc w:val="center"/>
              <w:rPr>
                <w:rFonts w:ascii="仿宋" w:hAnsi="仿宋" w:eastAsia="仿宋" w:cs="仿宋"/>
                <w:sz w:val="28"/>
                <w:szCs w:val="28"/>
              </w:rPr>
            </w:pPr>
          </w:p>
        </w:tc>
      </w:tr>
    </w:tbl>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autoSpaceDE w:val="0"/>
        <w:autoSpaceDN w:val="0"/>
        <w:adjustRightInd w:val="0"/>
        <w:jc w:val="left"/>
        <w:rPr>
          <w:rFonts w:ascii="仿宋_GB2312" w:hAnsi="宋体" w:eastAsia="仿宋_GB2312" w:cs="仿宋_GB2312"/>
          <w:color w:val="000000"/>
          <w:kern w:val="0"/>
          <w:sz w:val="24"/>
        </w:rPr>
      </w:pPr>
    </w:p>
    <w:p>
      <w:pPr>
        <w:widowControl/>
        <w:jc w:val="center"/>
        <w:rPr>
          <w:rFonts w:ascii="黑体" w:eastAsia="黑体"/>
          <w:sz w:val="28"/>
          <w:szCs w:val="28"/>
        </w:rPr>
      </w:pPr>
      <w:r>
        <w:rPr>
          <w:rFonts w:hint="eastAsia" w:ascii="黑体" w:hAnsi="黑体" w:eastAsia="黑体"/>
          <w:sz w:val="36"/>
          <w:szCs w:val="36"/>
        </w:rPr>
        <w:t>第三章 评分及评选办法</w:t>
      </w:r>
    </w:p>
    <w:p>
      <w:pPr>
        <w:autoSpaceDE w:val="0"/>
        <w:autoSpaceDN w:val="0"/>
        <w:adjustRightInd w:val="0"/>
        <w:spacing w:before="100" w:after="100"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本次比选活动的评选过程将采用综合评分的方法进行评选，满分为100分。</w:t>
      </w:r>
    </w:p>
    <w:p>
      <w:pPr>
        <w:pStyle w:val="18"/>
        <w:numPr>
          <w:ilvl w:val="255"/>
          <w:numId w:val="0"/>
        </w:numPr>
        <w:spacing w:before="100" w:after="100" w:line="560" w:lineRule="exact"/>
        <w:ind w:left="560"/>
        <w:rPr>
          <w:rFonts w:ascii="仿宋" w:hAnsi="仿宋" w:eastAsia="仿宋" w:cs="仿宋"/>
          <w:b/>
          <w:bCs/>
          <w:sz w:val="32"/>
          <w:szCs w:val="32"/>
        </w:rPr>
      </w:pPr>
      <w:r>
        <w:rPr>
          <w:rFonts w:hint="eastAsia" w:ascii="仿宋" w:hAnsi="仿宋" w:eastAsia="仿宋" w:cs="仿宋"/>
          <w:b/>
          <w:bCs/>
          <w:sz w:val="32"/>
          <w:szCs w:val="32"/>
        </w:rPr>
        <w:t>一、评分及评分标准</w:t>
      </w:r>
    </w:p>
    <w:tbl>
      <w:tblPr>
        <w:tblStyle w:val="10"/>
        <w:tblpPr w:leftFromText="180" w:rightFromText="180" w:vertAnchor="text" w:horzAnchor="page" w:tblpXSpec="center" w:tblpY="645"/>
        <w:tblOverlap w:val="never"/>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995"/>
        <w:gridCol w:w="71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5" w:type="dxa"/>
            <w:vAlign w:val="center"/>
          </w:tcPr>
          <w:p>
            <w:pPr>
              <w:spacing w:line="600" w:lineRule="exact"/>
              <w:jc w:val="center"/>
            </w:pPr>
            <w:r>
              <w:rPr>
                <w:rFonts w:hint="eastAsia"/>
              </w:rPr>
              <w:t>项目</w:t>
            </w:r>
          </w:p>
        </w:tc>
        <w:tc>
          <w:tcPr>
            <w:tcW w:w="2995" w:type="dxa"/>
            <w:vAlign w:val="center"/>
          </w:tcPr>
          <w:p>
            <w:pPr>
              <w:spacing w:line="600" w:lineRule="exact"/>
              <w:jc w:val="center"/>
            </w:pPr>
            <w:r>
              <w:rPr>
                <w:rFonts w:hint="eastAsia"/>
              </w:rPr>
              <w:t>明细</w:t>
            </w:r>
          </w:p>
        </w:tc>
        <w:tc>
          <w:tcPr>
            <w:tcW w:w="718" w:type="dxa"/>
            <w:vAlign w:val="center"/>
          </w:tcPr>
          <w:p>
            <w:pPr>
              <w:spacing w:line="600" w:lineRule="exact"/>
              <w:jc w:val="center"/>
            </w:pPr>
            <w:r>
              <w:rPr>
                <w:rFonts w:hint="eastAsia"/>
              </w:rPr>
              <w:t>分值</w:t>
            </w:r>
          </w:p>
        </w:tc>
        <w:tc>
          <w:tcPr>
            <w:tcW w:w="4393" w:type="dxa"/>
            <w:vAlign w:val="center"/>
          </w:tcPr>
          <w:p>
            <w:pPr>
              <w:spacing w:line="600" w:lineRule="exact"/>
              <w:jc w:val="center"/>
            </w:pPr>
            <w:r>
              <w:rPr>
                <w:rFonts w:hint="eastAsia"/>
              </w:rPr>
              <w:t>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restart"/>
            <w:vAlign w:val="center"/>
          </w:tcPr>
          <w:p>
            <w:pPr>
              <w:spacing w:line="600" w:lineRule="exact"/>
              <w:jc w:val="center"/>
            </w:pPr>
            <w:r>
              <w:rPr>
                <w:rFonts w:hint="eastAsia"/>
              </w:rPr>
              <w:t>方案报价</w:t>
            </w:r>
          </w:p>
        </w:tc>
        <w:tc>
          <w:tcPr>
            <w:tcW w:w="2995" w:type="dxa"/>
            <w:vAlign w:val="center"/>
          </w:tcPr>
          <w:p>
            <w:pPr>
              <w:spacing w:line="600" w:lineRule="exact"/>
              <w:jc w:val="center"/>
            </w:pPr>
            <w:r>
              <w:rPr>
                <w:rFonts w:hint="eastAsia"/>
              </w:rPr>
              <w:t>员工团体福利保险报价</w:t>
            </w:r>
          </w:p>
        </w:tc>
        <w:tc>
          <w:tcPr>
            <w:tcW w:w="718" w:type="dxa"/>
            <w:vAlign w:val="center"/>
          </w:tcPr>
          <w:p>
            <w:pPr>
              <w:spacing w:line="600" w:lineRule="exact"/>
              <w:jc w:val="center"/>
            </w:pPr>
            <w:r>
              <w:rPr>
                <w:rFonts w:hint="eastAsia"/>
              </w:rPr>
              <w:t>20</w:t>
            </w:r>
          </w:p>
        </w:tc>
        <w:tc>
          <w:tcPr>
            <w:tcW w:w="4393" w:type="dxa"/>
            <w:vAlign w:val="center"/>
          </w:tcPr>
          <w:p>
            <w:pPr>
              <w:spacing w:line="360" w:lineRule="exact"/>
              <w:jc w:val="left"/>
            </w:pPr>
            <w:r>
              <w:rPr>
                <w:rFonts w:hint="eastAsia"/>
              </w:rPr>
              <w:t>员工团体福利保险限价2000元/人</w:t>
            </w:r>
            <w:r>
              <w:rPr>
                <w:rFonts w:hint="eastAsia" w:ascii="方正仿宋简体" w:hAnsi="方正仿宋简体" w:eastAsia="方正仿宋简体" w:cs="方正仿宋简体"/>
              </w:rPr>
              <w:t>·</w:t>
            </w:r>
            <w:r>
              <w:rPr>
                <w:rFonts w:hint="eastAsia"/>
              </w:rPr>
              <w:t>年，在同样保额前提下，以最低报价为基准，最低报价得分为20分，每名之间相差5分，报价越低，得分越高，以此类推。（请按照格式4的保额清单，进行报价）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员工医疗基金管理费报价</w:t>
            </w:r>
          </w:p>
        </w:tc>
        <w:tc>
          <w:tcPr>
            <w:tcW w:w="718" w:type="dxa"/>
            <w:vAlign w:val="center"/>
          </w:tcPr>
          <w:p>
            <w:pPr>
              <w:spacing w:line="600" w:lineRule="exact"/>
              <w:jc w:val="center"/>
            </w:pPr>
            <w:r>
              <w:rPr>
                <w:rFonts w:hint="eastAsia"/>
              </w:rPr>
              <w:t>30</w:t>
            </w:r>
          </w:p>
        </w:tc>
        <w:tc>
          <w:tcPr>
            <w:tcW w:w="4393" w:type="dxa"/>
            <w:vAlign w:val="center"/>
          </w:tcPr>
          <w:p>
            <w:pPr>
              <w:spacing w:line="360" w:lineRule="exact"/>
              <w:jc w:val="left"/>
            </w:pPr>
            <w:r>
              <w:rPr>
                <w:rFonts w:hint="eastAsia"/>
              </w:rPr>
              <w:t>员工医疗基金管理费按照以最低报价为基准，最低报价得分为30分，每名之间相差5分，报价越低，得分越高，以此类推。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spacing w:line="600" w:lineRule="exact"/>
              <w:jc w:val="center"/>
            </w:pPr>
            <w:r>
              <w:rPr>
                <w:rFonts w:hint="eastAsia"/>
              </w:rPr>
              <w:t>方案评价</w:t>
            </w:r>
          </w:p>
        </w:tc>
        <w:tc>
          <w:tcPr>
            <w:tcW w:w="2995" w:type="dxa"/>
            <w:vAlign w:val="center"/>
          </w:tcPr>
          <w:p>
            <w:pPr>
              <w:spacing w:line="600" w:lineRule="exact"/>
              <w:jc w:val="center"/>
            </w:pPr>
            <w:r>
              <w:rPr>
                <w:rFonts w:hint="eastAsia"/>
              </w:rPr>
              <w:t>方案设计合理，满足保障需求</w:t>
            </w:r>
          </w:p>
        </w:tc>
        <w:tc>
          <w:tcPr>
            <w:tcW w:w="718" w:type="dxa"/>
            <w:vAlign w:val="center"/>
          </w:tcPr>
          <w:p>
            <w:pPr>
              <w:spacing w:line="600" w:lineRule="exact"/>
              <w:jc w:val="center"/>
            </w:pPr>
            <w:r>
              <w:rPr>
                <w:rFonts w:hint="eastAsia"/>
              </w:rPr>
              <w:t>10</w:t>
            </w:r>
          </w:p>
        </w:tc>
        <w:tc>
          <w:tcPr>
            <w:tcW w:w="4393" w:type="dxa"/>
            <w:vAlign w:val="center"/>
          </w:tcPr>
          <w:p>
            <w:pPr>
              <w:spacing w:line="360" w:lineRule="exact"/>
              <w:jc w:val="left"/>
            </w:pPr>
            <w:r>
              <w:rPr>
                <w:rFonts w:hint="eastAsia"/>
              </w:rPr>
              <w:t>根据方案是否满足实际需求酌情打分。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偿付便捷度及能力</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在理赔手续齐全的情况下，方式便捷、理赔时间最短得分为5分，每名之间相差1分，时效越快，得分越高，以此类推。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方案案例阐述简单、明确</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根据方案陈述内容清晰、详尽、明确酌情打分。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5" w:type="dxa"/>
            <w:vMerge w:val="restart"/>
            <w:vAlign w:val="center"/>
          </w:tcPr>
          <w:p>
            <w:pPr>
              <w:spacing w:line="600" w:lineRule="exact"/>
            </w:pPr>
            <w:r>
              <w:rPr>
                <w:rFonts w:hint="eastAsia"/>
              </w:rPr>
              <w:t>客户服务</w:t>
            </w:r>
          </w:p>
        </w:tc>
        <w:tc>
          <w:tcPr>
            <w:tcW w:w="2995" w:type="dxa"/>
            <w:vAlign w:val="center"/>
          </w:tcPr>
          <w:p>
            <w:pPr>
              <w:spacing w:line="600" w:lineRule="exact"/>
              <w:jc w:val="center"/>
            </w:pPr>
            <w:r>
              <w:rPr>
                <w:rFonts w:hint="eastAsia"/>
              </w:rPr>
              <w:t>项目团队及分工</w:t>
            </w:r>
          </w:p>
        </w:tc>
        <w:tc>
          <w:tcPr>
            <w:tcW w:w="718" w:type="dxa"/>
            <w:vAlign w:val="center"/>
          </w:tcPr>
          <w:p>
            <w:pPr>
              <w:spacing w:line="600" w:lineRule="exact"/>
              <w:jc w:val="center"/>
              <w:rPr>
                <w:rFonts w:hint="default" w:eastAsia="宋体"/>
                <w:lang w:val="en-US" w:eastAsia="zh-CN"/>
              </w:rPr>
            </w:pPr>
            <w:r>
              <w:rPr>
                <w:rFonts w:hint="eastAsia"/>
                <w:lang w:val="en-US" w:eastAsia="zh-CN"/>
              </w:rPr>
              <w:t>5</w:t>
            </w:r>
          </w:p>
        </w:tc>
        <w:tc>
          <w:tcPr>
            <w:tcW w:w="4393" w:type="dxa"/>
            <w:vAlign w:val="center"/>
          </w:tcPr>
          <w:p>
            <w:pPr>
              <w:spacing w:line="360" w:lineRule="exact"/>
              <w:jc w:val="left"/>
            </w:pPr>
            <w:r>
              <w:rPr>
                <w:rFonts w:hint="eastAsia"/>
              </w:rPr>
              <w:t>有专门服务本项目的团队及明确分工</w:t>
            </w:r>
            <w:r>
              <w:rPr>
                <w:rFonts w:hint="eastAsia"/>
                <w:lang w:val="en-US" w:eastAsia="zh-CN"/>
              </w:rPr>
              <w:t>5</w:t>
            </w:r>
            <w:r>
              <w:rPr>
                <w:rFonts w:hint="eastAsia"/>
              </w:rPr>
              <w:t>分；有专门负责的团队，无明确分工，</w:t>
            </w:r>
            <w:r>
              <w:rPr>
                <w:rFonts w:hint="eastAsia"/>
                <w:lang w:val="en-US" w:eastAsia="zh-CN"/>
              </w:rPr>
              <w:t>3</w:t>
            </w:r>
            <w:r>
              <w:rPr>
                <w:rFonts w:hint="eastAsia"/>
              </w:rPr>
              <w:t>分；均无，0分。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项目负责人及服务人员的经验</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项目负责人及服务人员有类似项目经验，5分；项目负责人及服务人员无类似项目经验，0分。需提供类似项目名称、合同、联系人等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增值保障服务</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有增值保障服务内容，亮点突出，5分；有增值保障服务内容，亮点不突出，3分；无增值保障服务内容，0分。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5" w:type="dxa"/>
            <w:vMerge w:val="restart"/>
            <w:vAlign w:val="center"/>
          </w:tcPr>
          <w:p>
            <w:pPr>
              <w:spacing w:line="600" w:lineRule="exact"/>
              <w:jc w:val="center"/>
            </w:pPr>
            <w:r>
              <w:rPr>
                <w:rFonts w:hint="eastAsia"/>
              </w:rPr>
              <w:t>公司能力</w:t>
            </w:r>
          </w:p>
        </w:tc>
        <w:tc>
          <w:tcPr>
            <w:tcW w:w="2995" w:type="dxa"/>
            <w:vAlign w:val="center"/>
          </w:tcPr>
          <w:p>
            <w:pPr>
              <w:spacing w:line="600" w:lineRule="exact"/>
              <w:jc w:val="center"/>
              <w:rPr>
                <w:color w:val="auto"/>
                <w:shd w:val="clear" w:color="auto" w:fill="auto"/>
              </w:rPr>
            </w:pPr>
            <w:r>
              <w:rPr>
                <w:rFonts w:hint="eastAsia"/>
                <w:color w:val="auto"/>
                <w:shd w:val="clear" w:color="auto" w:fill="auto"/>
              </w:rPr>
              <w:t>市场项目经验</w:t>
            </w:r>
          </w:p>
        </w:tc>
        <w:tc>
          <w:tcPr>
            <w:tcW w:w="718" w:type="dxa"/>
            <w:vAlign w:val="center"/>
          </w:tcPr>
          <w:p>
            <w:pPr>
              <w:spacing w:line="600" w:lineRule="exact"/>
              <w:jc w:val="center"/>
              <w:rPr>
                <w:color w:val="auto"/>
                <w:shd w:val="clear" w:color="auto" w:fill="auto"/>
              </w:rPr>
            </w:pPr>
            <w:r>
              <w:rPr>
                <w:rFonts w:hint="eastAsia"/>
                <w:color w:val="auto"/>
                <w:shd w:val="clear" w:color="auto" w:fill="auto"/>
              </w:rPr>
              <w:t>5</w:t>
            </w:r>
          </w:p>
        </w:tc>
        <w:tc>
          <w:tcPr>
            <w:tcW w:w="4393" w:type="dxa"/>
            <w:vAlign w:val="center"/>
          </w:tcPr>
          <w:p>
            <w:pPr>
              <w:spacing w:line="360" w:lineRule="exact"/>
              <w:jc w:val="left"/>
              <w:rPr>
                <w:color w:val="auto"/>
                <w:shd w:val="clear" w:color="auto" w:fill="auto"/>
              </w:rPr>
            </w:pPr>
            <w:r>
              <w:rPr>
                <w:rFonts w:hint="eastAsia"/>
                <w:color w:val="auto"/>
                <w:lang w:eastAsia="zh-CN"/>
              </w:rPr>
              <w:t>有与比选人所需服务一致的</w:t>
            </w:r>
            <w:r>
              <w:rPr>
                <w:rFonts w:hint="eastAsia"/>
                <w:color w:val="auto"/>
              </w:rPr>
              <w:t>相关业绩</w:t>
            </w:r>
            <w:r>
              <w:rPr>
                <w:rFonts w:hint="eastAsia"/>
                <w:color w:val="auto"/>
                <w:shd w:val="clear" w:color="auto" w:fill="auto"/>
              </w:rPr>
              <w:t>，</w:t>
            </w:r>
            <w:r>
              <w:rPr>
                <w:rFonts w:ascii="Times New Roman" w:hAnsi="Times New Roman" w:cs="Times New Roman"/>
                <w:color w:val="auto"/>
                <w:shd w:val="clear" w:color="auto" w:fill="auto"/>
              </w:rPr>
              <w:t>每个</w:t>
            </w:r>
            <w:r>
              <w:rPr>
                <w:rFonts w:hint="eastAsia" w:ascii="Times New Roman" w:hAnsi="Times New Roman" w:cs="Times New Roman"/>
                <w:color w:val="auto"/>
                <w:shd w:val="clear" w:color="auto" w:fill="auto"/>
              </w:rPr>
              <w:t>1</w:t>
            </w:r>
            <w:r>
              <w:rPr>
                <w:rFonts w:ascii="Times New Roman" w:hAnsi="Times New Roman" w:cs="Times New Roman"/>
                <w:color w:val="auto"/>
                <w:shd w:val="clear" w:color="auto" w:fill="auto"/>
              </w:rPr>
              <w:t>分</w:t>
            </w:r>
            <w:r>
              <w:rPr>
                <w:rFonts w:hint="eastAsia" w:ascii="Times New Roman" w:hAnsi="Times New Roman" w:cs="Times New Roman"/>
                <w:color w:val="auto"/>
                <w:shd w:val="clear" w:color="auto" w:fill="auto"/>
              </w:rPr>
              <w:t>，最高得5分</w:t>
            </w:r>
            <w:r>
              <w:rPr>
                <w:rFonts w:hint="eastAsia"/>
                <w:color w:val="auto"/>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财务票据合规性</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能够出具增值税专用发票，5分；只能出具增值税普遍发票，3分，不能出具发票，0分。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75" w:type="dxa"/>
            <w:vMerge w:val="continue"/>
            <w:vAlign w:val="center"/>
          </w:tcPr>
          <w:p>
            <w:pPr>
              <w:spacing w:line="600" w:lineRule="exact"/>
              <w:jc w:val="center"/>
            </w:pPr>
          </w:p>
        </w:tc>
        <w:tc>
          <w:tcPr>
            <w:tcW w:w="2995" w:type="dxa"/>
            <w:vAlign w:val="center"/>
          </w:tcPr>
          <w:p>
            <w:pPr>
              <w:spacing w:line="600" w:lineRule="exact"/>
              <w:jc w:val="center"/>
            </w:pPr>
            <w:r>
              <w:rPr>
                <w:rFonts w:hint="eastAsia"/>
              </w:rPr>
              <w:t>违约赔付机制</w:t>
            </w:r>
          </w:p>
        </w:tc>
        <w:tc>
          <w:tcPr>
            <w:tcW w:w="718" w:type="dxa"/>
            <w:vAlign w:val="center"/>
          </w:tcPr>
          <w:p>
            <w:pPr>
              <w:spacing w:line="600" w:lineRule="exact"/>
              <w:jc w:val="center"/>
            </w:pPr>
            <w:r>
              <w:rPr>
                <w:rFonts w:hint="eastAsia"/>
              </w:rPr>
              <w:t>5</w:t>
            </w:r>
          </w:p>
        </w:tc>
        <w:tc>
          <w:tcPr>
            <w:tcW w:w="4393" w:type="dxa"/>
            <w:vAlign w:val="center"/>
          </w:tcPr>
          <w:p>
            <w:pPr>
              <w:spacing w:line="360" w:lineRule="exact"/>
              <w:jc w:val="left"/>
            </w:pPr>
            <w:r>
              <w:rPr>
                <w:rFonts w:hint="eastAsia"/>
              </w:rPr>
              <w:t>如因保险政策变动等因素，在后期履约中未能按照合同正常履约，应建立违约赔付机制。有违约赔付机制，5分；无， 0分。</w:t>
            </w:r>
          </w:p>
        </w:tc>
      </w:tr>
    </w:tbl>
    <w:p>
      <w:pPr>
        <w:pStyle w:val="18"/>
        <w:numPr>
          <w:ilvl w:val="255"/>
          <w:numId w:val="0"/>
        </w:numPr>
        <w:spacing w:before="100" w:after="100" w:line="520" w:lineRule="exact"/>
        <w:rPr>
          <w:rFonts w:ascii="仿宋_GB2312" w:eastAsia="仿宋_GB2312"/>
          <w:sz w:val="28"/>
          <w:szCs w:val="28"/>
        </w:rPr>
      </w:pPr>
    </w:p>
    <w:p>
      <w:pPr>
        <w:pStyle w:val="18"/>
        <w:numPr>
          <w:ilvl w:val="255"/>
          <w:numId w:val="0"/>
        </w:numPr>
        <w:spacing w:before="100" w:after="100" w:line="560" w:lineRule="exact"/>
        <w:ind w:left="560"/>
        <w:rPr>
          <w:rFonts w:ascii="仿宋" w:hAnsi="仿宋" w:eastAsia="仿宋" w:cs="仿宋"/>
          <w:b/>
          <w:bCs/>
          <w:sz w:val="32"/>
          <w:szCs w:val="32"/>
        </w:rPr>
      </w:pPr>
      <w:r>
        <w:rPr>
          <w:rFonts w:hint="eastAsia" w:ascii="仿宋" w:hAnsi="仿宋" w:eastAsia="仿宋" w:cs="仿宋"/>
          <w:b/>
          <w:bCs/>
          <w:sz w:val="32"/>
          <w:szCs w:val="32"/>
        </w:rPr>
        <w:t>二、确定中选人</w:t>
      </w:r>
    </w:p>
    <w:p>
      <w:pPr>
        <w:autoSpaceDE w:val="0"/>
        <w:autoSpaceDN w:val="0"/>
        <w:adjustRightInd w:val="0"/>
        <w:spacing w:before="100" w:after="100" w:line="560" w:lineRule="exact"/>
        <w:ind w:firstLine="640" w:firstLineChars="200"/>
        <w:rPr>
          <w:rFonts w:ascii="仿宋" w:hAnsi="仿宋" w:eastAsia="仿宋" w:cs="仿宋"/>
          <w:sz w:val="32"/>
          <w:szCs w:val="32"/>
        </w:rPr>
      </w:pPr>
      <w:r>
        <w:rPr>
          <w:rFonts w:hint="eastAsia" w:ascii="仿宋" w:hAnsi="仿宋" w:eastAsia="仿宋" w:cs="仿宋"/>
          <w:sz w:val="32"/>
          <w:szCs w:val="32"/>
        </w:rPr>
        <w:t>各评委对每个参选文件的</w:t>
      </w:r>
      <w:r>
        <w:rPr>
          <w:rFonts w:hint="eastAsia" w:ascii="仿宋" w:hAnsi="仿宋" w:eastAsia="仿宋" w:cs="仿宋"/>
          <w:kern w:val="0"/>
          <w:sz w:val="32"/>
          <w:szCs w:val="32"/>
        </w:rPr>
        <w:t>评分完毕后，计算全部评委评分的平均分为参选人得分。得分最高的参选人为第一中选候选人，</w:t>
      </w:r>
      <w:r>
        <w:rPr>
          <w:rFonts w:hint="eastAsia" w:ascii="仿宋" w:hAnsi="仿宋" w:eastAsia="仿宋" w:cs="仿宋"/>
          <w:sz w:val="32"/>
          <w:szCs w:val="32"/>
        </w:rPr>
        <w:t>得分排名第二和第三的为后备中标候选人。</w:t>
      </w:r>
      <w:r>
        <w:rPr>
          <w:rFonts w:hint="eastAsia" w:ascii="仿宋" w:hAnsi="仿宋" w:eastAsia="仿宋" w:cs="仿宋"/>
          <w:kern w:val="0"/>
          <w:sz w:val="32"/>
          <w:szCs w:val="32"/>
        </w:rPr>
        <w:t>有2家以上参选人得到相同最高得分的，由</w:t>
      </w:r>
      <w:r>
        <w:rPr>
          <w:rFonts w:hint="eastAsia" w:ascii="仿宋" w:hAnsi="仿宋" w:eastAsia="仿宋" w:cs="仿宋"/>
          <w:sz w:val="32"/>
          <w:szCs w:val="32"/>
        </w:rPr>
        <w:t>评审委员会</w:t>
      </w:r>
      <w:r>
        <w:rPr>
          <w:rFonts w:hint="eastAsia" w:ascii="仿宋" w:hAnsi="仿宋" w:eastAsia="仿宋" w:cs="仿宋"/>
          <w:kern w:val="0"/>
          <w:sz w:val="32"/>
          <w:szCs w:val="32"/>
        </w:rPr>
        <w:t>投票决定中选人。</w:t>
      </w:r>
    </w:p>
    <w:p/>
    <w:p/>
    <w:p>
      <w:pPr>
        <w:autoSpaceDE w:val="0"/>
        <w:autoSpaceDN w:val="0"/>
        <w:adjustRightInd w:val="0"/>
        <w:spacing w:line="360" w:lineRule="auto"/>
        <w:jc w:val="center"/>
        <w:rPr>
          <w:rFonts w:ascii="方正仿宋简体" w:eastAsia="方正仿宋简体"/>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2678"/>
    </w:sdtPr>
    <w:sdtContent>
      <w:p>
        <w:pPr>
          <w:pStyle w:val="7"/>
          <w:jc w:val="right"/>
        </w:pPr>
        <w:r>
          <w:fldChar w:fldCharType="begin"/>
        </w:r>
        <w:r>
          <w:instrText xml:space="preserve"> PAGE   \* MERGEFORMAT </w:instrText>
        </w:r>
        <w:r>
          <w:fldChar w:fldCharType="separate"/>
        </w:r>
        <w:r>
          <w:rPr>
            <w:lang w:val="zh-CN"/>
          </w:rPr>
          <w:t>-</w:t>
        </w:r>
        <w:r>
          <w:t xml:space="preserve"> 10 -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D4373"/>
    <w:multiLevelType w:val="singleLevel"/>
    <w:tmpl w:val="4D9D43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85"/>
    <w:rsid w:val="00052D0A"/>
    <w:rsid w:val="000572BF"/>
    <w:rsid w:val="00070687"/>
    <w:rsid w:val="00084840"/>
    <w:rsid w:val="00086090"/>
    <w:rsid w:val="00090BDF"/>
    <w:rsid w:val="000A22A1"/>
    <w:rsid w:val="000D3D2A"/>
    <w:rsid w:val="000E7F71"/>
    <w:rsid w:val="000F651A"/>
    <w:rsid w:val="001056C5"/>
    <w:rsid w:val="001130DC"/>
    <w:rsid w:val="00156871"/>
    <w:rsid w:val="00181BAD"/>
    <w:rsid w:val="001D433B"/>
    <w:rsid w:val="001E369C"/>
    <w:rsid w:val="001E3B72"/>
    <w:rsid w:val="00210170"/>
    <w:rsid w:val="0024067E"/>
    <w:rsid w:val="00243D44"/>
    <w:rsid w:val="0026084D"/>
    <w:rsid w:val="0027442D"/>
    <w:rsid w:val="00277E85"/>
    <w:rsid w:val="00285AE4"/>
    <w:rsid w:val="002A2A24"/>
    <w:rsid w:val="002B423D"/>
    <w:rsid w:val="002B5538"/>
    <w:rsid w:val="002C0785"/>
    <w:rsid w:val="002C7126"/>
    <w:rsid w:val="002E675B"/>
    <w:rsid w:val="002F1DA4"/>
    <w:rsid w:val="00306AE7"/>
    <w:rsid w:val="003158E6"/>
    <w:rsid w:val="00383AE1"/>
    <w:rsid w:val="003936F8"/>
    <w:rsid w:val="003949F6"/>
    <w:rsid w:val="00411138"/>
    <w:rsid w:val="00463685"/>
    <w:rsid w:val="00492E8C"/>
    <w:rsid w:val="00494C5C"/>
    <w:rsid w:val="004A3A93"/>
    <w:rsid w:val="004C17B2"/>
    <w:rsid w:val="004F0819"/>
    <w:rsid w:val="004F6112"/>
    <w:rsid w:val="005349F3"/>
    <w:rsid w:val="00542961"/>
    <w:rsid w:val="00544969"/>
    <w:rsid w:val="00554172"/>
    <w:rsid w:val="00571DF3"/>
    <w:rsid w:val="0058545C"/>
    <w:rsid w:val="00591E21"/>
    <w:rsid w:val="006025B3"/>
    <w:rsid w:val="00640751"/>
    <w:rsid w:val="006636FF"/>
    <w:rsid w:val="00665496"/>
    <w:rsid w:val="006769E0"/>
    <w:rsid w:val="00682F12"/>
    <w:rsid w:val="00687ECD"/>
    <w:rsid w:val="006A4C5A"/>
    <w:rsid w:val="006B19A9"/>
    <w:rsid w:val="006B2B4D"/>
    <w:rsid w:val="006E65FA"/>
    <w:rsid w:val="0071794F"/>
    <w:rsid w:val="00765FAC"/>
    <w:rsid w:val="00766D3F"/>
    <w:rsid w:val="00782C43"/>
    <w:rsid w:val="007C356B"/>
    <w:rsid w:val="007E6877"/>
    <w:rsid w:val="00807B8C"/>
    <w:rsid w:val="00817035"/>
    <w:rsid w:val="00847749"/>
    <w:rsid w:val="008519A1"/>
    <w:rsid w:val="00865A74"/>
    <w:rsid w:val="008771C6"/>
    <w:rsid w:val="008C5C02"/>
    <w:rsid w:val="008D041C"/>
    <w:rsid w:val="008E10E8"/>
    <w:rsid w:val="008F35A7"/>
    <w:rsid w:val="008F36F4"/>
    <w:rsid w:val="00902EB8"/>
    <w:rsid w:val="009064CB"/>
    <w:rsid w:val="00952A3B"/>
    <w:rsid w:val="009C74C3"/>
    <w:rsid w:val="00A30B86"/>
    <w:rsid w:val="00A7037F"/>
    <w:rsid w:val="00A76A04"/>
    <w:rsid w:val="00AA0C51"/>
    <w:rsid w:val="00AB2C6A"/>
    <w:rsid w:val="00AB522A"/>
    <w:rsid w:val="00AE2798"/>
    <w:rsid w:val="00B22340"/>
    <w:rsid w:val="00B340DA"/>
    <w:rsid w:val="00B721AF"/>
    <w:rsid w:val="00B81055"/>
    <w:rsid w:val="00BA0D5E"/>
    <w:rsid w:val="00BC1B01"/>
    <w:rsid w:val="00BD12B4"/>
    <w:rsid w:val="00C073B4"/>
    <w:rsid w:val="00C20951"/>
    <w:rsid w:val="00C25332"/>
    <w:rsid w:val="00C3112C"/>
    <w:rsid w:val="00C3776C"/>
    <w:rsid w:val="00C466BE"/>
    <w:rsid w:val="00C52B17"/>
    <w:rsid w:val="00C8685D"/>
    <w:rsid w:val="00D91866"/>
    <w:rsid w:val="00DB063F"/>
    <w:rsid w:val="00E0470B"/>
    <w:rsid w:val="00E16904"/>
    <w:rsid w:val="00E50031"/>
    <w:rsid w:val="00ED2840"/>
    <w:rsid w:val="00EF3EFE"/>
    <w:rsid w:val="00F127CF"/>
    <w:rsid w:val="00F25E29"/>
    <w:rsid w:val="00F453F2"/>
    <w:rsid w:val="00F65CED"/>
    <w:rsid w:val="00FD4F6A"/>
    <w:rsid w:val="00FD66F2"/>
    <w:rsid w:val="00FE01A2"/>
    <w:rsid w:val="00FE156A"/>
    <w:rsid w:val="01B14F1A"/>
    <w:rsid w:val="039B6223"/>
    <w:rsid w:val="06293766"/>
    <w:rsid w:val="06503A2B"/>
    <w:rsid w:val="06677414"/>
    <w:rsid w:val="07F1366D"/>
    <w:rsid w:val="09A02ECC"/>
    <w:rsid w:val="09DE790B"/>
    <w:rsid w:val="0A826FF0"/>
    <w:rsid w:val="0F9011FD"/>
    <w:rsid w:val="110A2F87"/>
    <w:rsid w:val="16F57AF3"/>
    <w:rsid w:val="180333D2"/>
    <w:rsid w:val="189D2528"/>
    <w:rsid w:val="18F07644"/>
    <w:rsid w:val="1D050BAE"/>
    <w:rsid w:val="1D8364EB"/>
    <w:rsid w:val="1F0A7B9A"/>
    <w:rsid w:val="203E57E9"/>
    <w:rsid w:val="23413DA5"/>
    <w:rsid w:val="23AB0320"/>
    <w:rsid w:val="28530AC8"/>
    <w:rsid w:val="29F64915"/>
    <w:rsid w:val="2A4A6626"/>
    <w:rsid w:val="2BE903D5"/>
    <w:rsid w:val="2C2715FE"/>
    <w:rsid w:val="2C955D8D"/>
    <w:rsid w:val="2D1E4F5C"/>
    <w:rsid w:val="2DD85826"/>
    <w:rsid w:val="2F8E7A88"/>
    <w:rsid w:val="30B85899"/>
    <w:rsid w:val="36197F23"/>
    <w:rsid w:val="3F3C6DE8"/>
    <w:rsid w:val="42F6725E"/>
    <w:rsid w:val="432729F9"/>
    <w:rsid w:val="48040840"/>
    <w:rsid w:val="49D05875"/>
    <w:rsid w:val="4A455DDB"/>
    <w:rsid w:val="4AD84C50"/>
    <w:rsid w:val="4DB650BE"/>
    <w:rsid w:val="4F734662"/>
    <w:rsid w:val="54922ABD"/>
    <w:rsid w:val="557D0632"/>
    <w:rsid w:val="59884507"/>
    <w:rsid w:val="5D74745E"/>
    <w:rsid w:val="60090274"/>
    <w:rsid w:val="625E5F6A"/>
    <w:rsid w:val="645E5ED9"/>
    <w:rsid w:val="656D2AA9"/>
    <w:rsid w:val="65A21E2E"/>
    <w:rsid w:val="66BD24FE"/>
    <w:rsid w:val="66E22833"/>
    <w:rsid w:val="6832723A"/>
    <w:rsid w:val="6A2C3362"/>
    <w:rsid w:val="72C1207A"/>
    <w:rsid w:val="75DE5652"/>
    <w:rsid w:val="7C164D51"/>
    <w:rsid w:val="7E9B793D"/>
    <w:rsid w:val="7F73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ody Text"/>
    <w:basedOn w:val="1"/>
    <w:link w:val="20"/>
    <w:qFormat/>
    <w:uiPriority w:val="0"/>
    <w:rPr>
      <w:rFonts w:ascii="Times New Roman" w:hAnsi="Times New Roman" w:eastAsia="仿宋_GB2312" w:cs="Times New Roman"/>
      <w:sz w:val="32"/>
      <w:szCs w:val="24"/>
    </w:rPr>
  </w:style>
  <w:style w:type="paragraph" w:styleId="6">
    <w:name w:val="Balloon Text"/>
    <w:basedOn w:val="1"/>
    <w:link w:val="24"/>
    <w:semiHidden/>
    <w:unhideWhenUsed/>
    <w:qFormat/>
    <w:uiPriority w:val="99"/>
    <w:rPr>
      <w:sz w:val="16"/>
      <w:szCs w:val="16"/>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6"/>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 w:type="character" w:customStyle="1" w:styleId="19">
    <w:name w:val="书籍标题1"/>
    <w:basedOn w:val="11"/>
    <w:qFormat/>
    <w:uiPriority w:val="33"/>
    <w:rPr>
      <w:b/>
      <w:bCs/>
      <w:smallCaps/>
      <w:spacing w:val="5"/>
    </w:rPr>
  </w:style>
  <w:style w:type="character" w:customStyle="1" w:styleId="20">
    <w:name w:val="正文文本 字符"/>
    <w:basedOn w:val="11"/>
    <w:link w:val="5"/>
    <w:qFormat/>
    <w:uiPriority w:val="0"/>
    <w:rPr>
      <w:rFonts w:ascii="Times New Roman" w:hAnsi="Times New Roman" w:eastAsia="仿宋_GB2312" w:cs="Times New Roman"/>
      <w:sz w:val="32"/>
      <w:szCs w:val="24"/>
    </w:rPr>
  </w:style>
  <w:style w:type="paragraph" w:customStyle="1" w:styleId="21">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character" w:customStyle="1" w:styleId="22">
    <w:name w:val="页眉 字符"/>
    <w:basedOn w:val="11"/>
    <w:link w:val="8"/>
    <w:qFormat/>
    <w:uiPriority w:val="99"/>
    <w:rPr>
      <w:rFonts w:ascii="Calibri" w:hAnsi="Calibri" w:eastAsia="宋体" w:cs="黑体"/>
      <w:sz w:val="18"/>
      <w:szCs w:val="18"/>
    </w:rPr>
  </w:style>
  <w:style w:type="character" w:customStyle="1" w:styleId="23">
    <w:name w:val="页脚 字符"/>
    <w:basedOn w:val="11"/>
    <w:link w:val="7"/>
    <w:qFormat/>
    <w:uiPriority w:val="99"/>
    <w:rPr>
      <w:rFonts w:ascii="Calibri" w:hAnsi="Calibri" w:eastAsia="宋体" w:cs="黑体"/>
      <w:sz w:val="18"/>
      <w:szCs w:val="18"/>
    </w:rPr>
  </w:style>
  <w:style w:type="character" w:customStyle="1" w:styleId="24">
    <w:name w:val="批注框文本 字符"/>
    <w:basedOn w:val="11"/>
    <w:link w:val="6"/>
    <w:semiHidden/>
    <w:qFormat/>
    <w:uiPriority w:val="99"/>
    <w:rPr>
      <w:rFonts w:ascii="Calibri" w:hAnsi="Calibri" w:eastAsia="宋体" w:cs="黑体"/>
      <w:sz w:val="16"/>
      <w:szCs w:val="16"/>
    </w:rPr>
  </w:style>
  <w:style w:type="character" w:customStyle="1" w:styleId="25">
    <w:name w:val="批注文字 字符"/>
    <w:basedOn w:val="11"/>
    <w:link w:val="4"/>
    <w:semiHidden/>
    <w:qFormat/>
    <w:uiPriority w:val="99"/>
    <w:rPr>
      <w:rFonts w:ascii="Calibri" w:hAnsi="Calibri" w:eastAsia="宋体" w:cs="黑体"/>
    </w:rPr>
  </w:style>
  <w:style w:type="character" w:customStyle="1" w:styleId="26">
    <w:name w:val="批注主题 字符"/>
    <w:basedOn w:val="25"/>
    <w:link w:val="9"/>
    <w:semiHidden/>
    <w:qFormat/>
    <w:uiPriority w:val="99"/>
    <w:rPr>
      <w:rFonts w:ascii="Calibri" w:hAnsi="Calibri" w:eastAsia="宋体" w:cs="黑体"/>
      <w:b/>
      <w:bCs/>
    </w:rPr>
  </w:style>
  <w:style w:type="character" w:customStyle="1" w:styleId="2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C2E60-2D3E-4E27-AD1B-12619CE95D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664</Words>
  <Characters>3788</Characters>
  <Lines>31</Lines>
  <Paragraphs>8</Paragraphs>
  <TotalTime>13</TotalTime>
  <ScaleCrop>false</ScaleCrop>
  <LinksUpToDate>false</LinksUpToDate>
  <CharactersWithSpaces>4444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2021-10-14T08:22:00Z</dcterms:created>
  <dc:creator>微软中国</dc:creator>
  <cp:lastModifiedBy>马叔叔i</cp:lastModifiedBy>
  <cp:lastPrinted>2018-01-18T08:36:00Z</cp:lastPrinted>
  <dcterms:modified xsi:type="dcterms:W3CDTF">2021-10-18T06:33:34Z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B2216B36B5E545E69D87EEEB1F9FEEE2</vt:lpwstr>
  </property>
</Properties>
</file>