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Arial" w:eastAsia="黑体" w:cs="Arial"/>
          <w:b/>
          <w:bCs/>
          <w:color w:val="000000"/>
          <w:sz w:val="48"/>
          <w:szCs w:val="48"/>
        </w:rPr>
      </w:pPr>
    </w:p>
    <w:p>
      <w:pPr>
        <w:jc w:val="center"/>
        <w:rPr>
          <w:rFonts w:ascii="黑体" w:hAnsi="Arial" w:eastAsia="黑体" w:cs="Arial"/>
          <w:b/>
          <w:bCs/>
          <w:color w:val="000000"/>
          <w:sz w:val="48"/>
          <w:szCs w:val="48"/>
        </w:rPr>
      </w:pPr>
    </w:p>
    <w:p>
      <w:pPr>
        <w:jc w:val="center"/>
        <w:rPr>
          <w:rFonts w:ascii="黑体" w:eastAsia="黑体"/>
          <w:b/>
          <w:sz w:val="48"/>
          <w:szCs w:val="48"/>
        </w:rPr>
      </w:pPr>
      <w:r>
        <w:rPr>
          <w:rFonts w:hint="eastAsia" w:ascii="黑体" w:hAnsi="Arial" w:eastAsia="黑体" w:cs="Arial"/>
          <w:b/>
          <w:bCs/>
          <w:color w:val="000000"/>
          <w:sz w:val="48"/>
          <w:szCs w:val="48"/>
        </w:rPr>
        <w:t>都江堰轨道交通有限责任公司</w:t>
      </w: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b/>
          <w:sz w:val="72"/>
          <w:szCs w:val="72"/>
        </w:rPr>
      </w:pPr>
      <w:r>
        <w:rPr>
          <w:rFonts w:hint="eastAsia" w:ascii="黑体" w:eastAsia="黑体"/>
          <w:b/>
          <w:sz w:val="72"/>
          <w:szCs w:val="72"/>
        </w:rPr>
        <w:t>购买职工补充医疗保险</w:t>
      </w:r>
    </w:p>
    <w:p>
      <w:pPr>
        <w:jc w:val="center"/>
        <w:rPr>
          <w:rFonts w:ascii="黑体" w:eastAsia="黑体"/>
          <w:b/>
          <w:sz w:val="72"/>
          <w:szCs w:val="72"/>
        </w:rPr>
      </w:pPr>
      <w:r>
        <w:rPr>
          <w:rFonts w:hint="eastAsia" w:ascii="黑体" w:eastAsia="黑体"/>
          <w:b/>
          <w:sz w:val="72"/>
          <w:szCs w:val="72"/>
        </w:rPr>
        <w:t>比 选 文 件</w:t>
      </w: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b/>
          <w:sz w:val="32"/>
          <w:szCs w:val="32"/>
        </w:rPr>
      </w:pPr>
      <w:r>
        <w:rPr>
          <w:rFonts w:hint="eastAsia" w:ascii="黑体" w:eastAsia="黑体"/>
          <w:b/>
          <w:sz w:val="32"/>
          <w:szCs w:val="32"/>
        </w:rPr>
        <w:t>比选人：都江堰轨道交通有限责任</w:t>
      </w:r>
      <w:r>
        <w:rPr>
          <w:rFonts w:ascii="黑体" w:eastAsia="黑体"/>
          <w:b/>
          <w:sz w:val="32"/>
          <w:szCs w:val="32"/>
        </w:rPr>
        <w:t>公司</w:t>
      </w:r>
    </w:p>
    <w:p>
      <w:pPr>
        <w:jc w:val="center"/>
        <w:rPr>
          <w:rFonts w:ascii="黑体" w:eastAsia="黑体"/>
          <w:b/>
          <w:sz w:val="32"/>
          <w:szCs w:val="32"/>
        </w:rPr>
      </w:pPr>
    </w:p>
    <w:p>
      <w:pPr>
        <w:jc w:val="center"/>
        <w:rPr>
          <w:rFonts w:ascii="黑体" w:eastAsia="黑体"/>
          <w:sz w:val="36"/>
          <w:szCs w:val="36"/>
        </w:rPr>
      </w:pPr>
      <w:r>
        <w:rPr>
          <w:rFonts w:hint="eastAsia" w:ascii="黑体" w:eastAsia="黑体"/>
          <w:b/>
          <w:sz w:val="32"/>
          <w:szCs w:val="32"/>
        </w:rPr>
        <w:t>2021年1</w:t>
      </w:r>
      <w:r>
        <w:rPr>
          <w:rFonts w:hint="eastAsia" w:ascii="黑体" w:eastAsia="黑体"/>
          <w:b/>
          <w:sz w:val="32"/>
          <w:szCs w:val="32"/>
          <w:lang w:val="en-US" w:eastAsia="zh-CN"/>
        </w:rPr>
        <w:t>1</w:t>
      </w:r>
      <w:r>
        <w:rPr>
          <w:rFonts w:hint="eastAsia" w:ascii="黑体" w:eastAsia="黑体"/>
          <w:b/>
          <w:sz w:val="32"/>
          <w:szCs w:val="32"/>
        </w:rPr>
        <w:t>月</w:t>
      </w:r>
      <w:r>
        <w:rPr>
          <w:rFonts w:hint="eastAsia" w:ascii="黑体" w:eastAsia="黑体"/>
          <w:b/>
          <w:sz w:val="32"/>
          <w:szCs w:val="32"/>
          <w:lang w:val="en-US" w:eastAsia="zh-CN"/>
        </w:rPr>
        <w:t>23</w:t>
      </w:r>
      <w:r>
        <w:rPr>
          <w:rFonts w:hint="eastAsia" w:ascii="黑体" w:eastAsia="黑体"/>
          <w:b/>
          <w:sz w:val="32"/>
          <w:szCs w:val="32"/>
        </w:rPr>
        <w:t>日</w:t>
      </w: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28"/>
          <w:szCs w:val="28"/>
        </w:rPr>
      </w:pPr>
      <w:r>
        <w:rPr>
          <w:rFonts w:hint="eastAsia" w:ascii="黑体" w:eastAsia="黑体"/>
          <w:sz w:val="36"/>
          <w:szCs w:val="36"/>
        </w:rPr>
        <w:t>第一章  比选须知</w:t>
      </w:r>
    </w:p>
    <w:p>
      <w:pPr>
        <w:spacing w:line="600" w:lineRule="exact"/>
        <w:ind w:firstLine="560" w:firstLineChars="200"/>
        <w:jc w:val="left"/>
        <w:rPr>
          <w:rFonts w:ascii="黑体" w:eastAsia="黑体"/>
          <w:sz w:val="28"/>
          <w:szCs w:val="28"/>
        </w:rPr>
      </w:pPr>
      <w:r>
        <w:rPr>
          <w:rFonts w:hint="eastAsia" w:ascii="黑体" w:eastAsia="黑体"/>
          <w:sz w:val="28"/>
          <w:szCs w:val="28"/>
        </w:rPr>
        <w:t>一、比选说明</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（一）不论比选的结果如何，参加比选的保险公司均应自行承担编制和提交比选申请书的全部费用，比选人对这些费用概不负责；</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（二）在参加本项目的比选活动中，必须由保险公司负责人或其授权的委托代理人参加。</w:t>
      </w:r>
    </w:p>
    <w:p>
      <w:pPr>
        <w:spacing w:line="600" w:lineRule="exact"/>
        <w:ind w:firstLine="560" w:firstLineChars="200"/>
        <w:jc w:val="left"/>
        <w:rPr>
          <w:rFonts w:ascii="黑体" w:eastAsia="黑体"/>
          <w:sz w:val="28"/>
          <w:szCs w:val="28"/>
        </w:rPr>
      </w:pPr>
      <w:r>
        <w:rPr>
          <w:rFonts w:hint="eastAsia" w:ascii="黑体" w:eastAsia="黑体"/>
          <w:sz w:val="28"/>
          <w:szCs w:val="28"/>
        </w:rPr>
        <w:t>二、参加比选的单位应当具备要求</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（一）</w:t>
      </w:r>
      <w:r>
        <w:rPr>
          <w:rFonts w:hint="eastAsia" w:ascii="仿宋_GB2312" w:eastAsia="仿宋_GB2312"/>
          <w:sz w:val="28"/>
          <w:szCs w:val="28"/>
          <w:lang w:eastAsia="zh-CN"/>
        </w:rPr>
        <w:t>具有</w:t>
      </w:r>
      <w:r>
        <w:rPr>
          <w:rFonts w:hint="eastAsia" w:ascii="仿宋_GB2312" w:eastAsia="仿宋_GB2312"/>
          <w:sz w:val="28"/>
          <w:szCs w:val="28"/>
        </w:rPr>
        <w:t>行政管理部门颁发的</w:t>
      </w:r>
      <w:r>
        <w:rPr>
          <w:rFonts w:hint="eastAsia" w:ascii="仿宋_GB2312" w:eastAsia="仿宋_GB2312"/>
          <w:sz w:val="28"/>
          <w:szCs w:val="28"/>
          <w:lang w:eastAsia="zh-CN"/>
        </w:rPr>
        <w:t>《</w:t>
      </w:r>
      <w:r>
        <w:rPr>
          <w:rFonts w:hint="eastAsia" w:ascii="仿宋_GB2312" w:eastAsia="仿宋_GB2312"/>
          <w:sz w:val="28"/>
          <w:szCs w:val="28"/>
        </w:rPr>
        <w:t>营业执照</w:t>
      </w:r>
      <w:r>
        <w:rPr>
          <w:rFonts w:hint="eastAsia" w:ascii="仿宋_GB2312" w:eastAsia="仿宋_GB2312"/>
          <w:sz w:val="28"/>
          <w:szCs w:val="28"/>
          <w:lang w:eastAsia="zh-CN"/>
        </w:rPr>
        <w:t>》且经营范围中具有保险业务</w:t>
      </w:r>
      <w:r>
        <w:rPr>
          <w:rFonts w:hint="eastAsia" w:ascii="仿宋_GB2312" w:eastAsia="仿宋_GB2312"/>
          <w:sz w:val="28"/>
          <w:szCs w:val="28"/>
        </w:rPr>
        <w:t>；</w:t>
      </w:r>
    </w:p>
    <w:p>
      <w:pPr>
        <w:spacing w:line="60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（二）具有中国</w:t>
      </w:r>
      <w:r>
        <w:rPr>
          <w:rFonts w:hint="eastAsia" w:ascii="仿宋_GB2312" w:eastAsia="仿宋_GB2312"/>
          <w:sz w:val="28"/>
          <w:szCs w:val="28"/>
          <w:lang w:eastAsia="zh-CN"/>
        </w:rPr>
        <w:t>银行保险监督管理委员</w:t>
      </w:r>
      <w:r>
        <w:rPr>
          <w:rFonts w:hint="eastAsia" w:ascii="仿宋_GB2312" w:eastAsia="仿宋_GB2312"/>
          <w:sz w:val="28"/>
          <w:szCs w:val="28"/>
        </w:rPr>
        <w:t>会颁发的《经营保险业务许可证》</w:t>
      </w:r>
      <w:r>
        <w:rPr>
          <w:rFonts w:hint="eastAsia" w:ascii="仿宋_GB2312" w:eastAsia="仿宋_GB2312"/>
          <w:sz w:val="28"/>
          <w:szCs w:val="28"/>
          <w:lang w:eastAsia="zh-CN"/>
        </w:rPr>
        <w:t>；</w:t>
      </w:r>
    </w:p>
    <w:p>
      <w:pPr>
        <w:spacing w:line="60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（三）</w:t>
      </w:r>
      <w:r>
        <w:rPr>
          <w:rFonts w:hint="eastAsia" w:ascii="仿宋_GB2312" w:eastAsia="仿宋_GB2312"/>
          <w:sz w:val="28"/>
          <w:szCs w:val="28"/>
          <w:lang w:eastAsia="zh-CN"/>
        </w:rPr>
        <w:t>具有良好的商业信誉和健全的财务会计制度并出具承诺函；</w:t>
      </w:r>
    </w:p>
    <w:p>
      <w:pPr>
        <w:spacing w:line="6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（四）近三年内（</w:t>
      </w:r>
      <w:r>
        <w:rPr>
          <w:rFonts w:hint="eastAsia" w:ascii="仿宋_GB2312" w:eastAsia="仿宋_GB2312"/>
          <w:sz w:val="28"/>
          <w:szCs w:val="28"/>
          <w:lang w:val="en-US" w:eastAsia="zh-CN"/>
        </w:rPr>
        <w:t>2018年至比选文件递交之日</w:t>
      </w:r>
      <w:r>
        <w:rPr>
          <w:rFonts w:hint="eastAsia" w:ascii="仿宋_GB2312" w:eastAsia="仿宋_GB2312"/>
          <w:sz w:val="28"/>
          <w:szCs w:val="28"/>
          <w:lang w:eastAsia="zh-CN"/>
        </w:rPr>
        <w:t>）</w:t>
      </w:r>
      <w:r>
        <w:rPr>
          <w:rFonts w:hint="eastAsia" w:ascii="仿宋_GB2312" w:eastAsia="仿宋_GB2312"/>
          <w:sz w:val="28"/>
          <w:szCs w:val="28"/>
        </w:rPr>
        <w:t>在国家工商总局“全国企业信用信息公示系统”（http：//www.gsxt.saic.gov.cn）中无行政处罚信息、无列入经营异常名录信息、无列入严重违法失信企业名单（黑名单）信息；</w:t>
      </w:r>
      <w:r>
        <w:rPr>
          <w:rFonts w:hint="eastAsia" w:ascii="仿宋_GB2312" w:eastAsia="仿宋_GB2312"/>
          <w:sz w:val="28"/>
          <w:szCs w:val="28"/>
          <w:lang w:eastAsia="zh-CN"/>
        </w:rPr>
        <w:t>（如比选人</w:t>
      </w:r>
      <w:r>
        <w:rPr>
          <w:rFonts w:hint="eastAsia" w:ascii="仿宋_GB2312" w:eastAsia="仿宋_GB2312"/>
          <w:sz w:val="28"/>
          <w:szCs w:val="28"/>
        </w:rPr>
        <w:t>在国家工商总局“全国企业信用信息公示系统”</w:t>
      </w:r>
      <w:r>
        <w:rPr>
          <w:rFonts w:hint="eastAsia" w:ascii="仿宋_GB2312" w:eastAsia="仿宋_GB2312"/>
          <w:sz w:val="28"/>
          <w:szCs w:val="28"/>
          <w:lang w:eastAsia="zh-CN"/>
        </w:rPr>
        <w:t>有以上信息，但在近三年内已被移除，视为符合资格）</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五</w:t>
      </w:r>
      <w:r>
        <w:rPr>
          <w:rFonts w:hint="eastAsia" w:ascii="仿宋_GB2312" w:eastAsia="仿宋_GB2312"/>
          <w:sz w:val="28"/>
          <w:szCs w:val="28"/>
        </w:rPr>
        <w:t>）本次比选不接受联合体。</w:t>
      </w:r>
    </w:p>
    <w:p>
      <w:pPr>
        <w:spacing w:line="600" w:lineRule="exact"/>
        <w:ind w:firstLine="560" w:firstLineChars="200"/>
        <w:jc w:val="left"/>
        <w:rPr>
          <w:rFonts w:ascii="黑体" w:eastAsia="黑体"/>
          <w:sz w:val="28"/>
          <w:szCs w:val="28"/>
        </w:rPr>
      </w:pPr>
      <w:r>
        <w:rPr>
          <w:rFonts w:hint="eastAsia" w:ascii="黑体" w:eastAsia="黑体"/>
          <w:sz w:val="28"/>
          <w:szCs w:val="28"/>
        </w:rPr>
        <w:t>三、项目介绍及主要服务事项</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通过公开比选，选择保费优惠、项目科学、服务优良的保险公司为都江堰轨道交通有限责任公司全体职工提供员工团体补充医疗保险服务。</w:t>
      </w:r>
    </w:p>
    <w:p>
      <w:pPr>
        <w:numPr>
          <w:ilvl w:val="0"/>
          <w:numId w:val="1"/>
        </w:numPr>
        <w:spacing w:line="600" w:lineRule="exact"/>
        <w:ind w:firstLine="560" w:firstLineChars="200"/>
        <w:jc w:val="left"/>
        <w:rPr>
          <w:rFonts w:ascii="黑体" w:eastAsia="黑体"/>
          <w:sz w:val="28"/>
          <w:szCs w:val="28"/>
        </w:rPr>
      </w:pPr>
      <w:r>
        <w:rPr>
          <w:rFonts w:hint="eastAsia" w:ascii="黑体" w:eastAsia="黑体"/>
          <w:sz w:val="28"/>
          <w:szCs w:val="28"/>
        </w:rPr>
        <w:t>比选被邀请人在比选申请书中应当提供的信息及评价比例</w:t>
      </w:r>
    </w:p>
    <w:p>
      <w:pPr>
        <w:spacing w:line="600" w:lineRule="exact"/>
        <w:ind w:firstLine="560" w:firstLineChars="200"/>
        <w:rPr>
          <w:rFonts w:ascii="仿宋_GB2312" w:eastAsia="仿宋_GB2312"/>
          <w:color w:val="FF0000"/>
          <w:sz w:val="28"/>
          <w:szCs w:val="28"/>
        </w:rPr>
      </w:pPr>
    </w:p>
    <w:tbl>
      <w:tblPr>
        <w:tblStyle w:val="10"/>
        <w:tblW w:w="8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6202"/>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30" w:type="dxa"/>
            <w:vAlign w:val="center"/>
          </w:tcPr>
          <w:p>
            <w:pPr>
              <w:spacing w:line="320" w:lineRule="atLeast"/>
              <w:jc w:val="center"/>
              <w:rPr>
                <w:rFonts w:ascii="黑体" w:hAnsi="黑体" w:eastAsia="黑体"/>
                <w:sz w:val="28"/>
                <w:szCs w:val="28"/>
              </w:rPr>
            </w:pPr>
            <w:r>
              <w:rPr>
                <w:rFonts w:hint="eastAsia" w:ascii="黑体" w:hAnsi="黑体" w:eastAsia="黑体"/>
                <w:sz w:val="28"/>
                <w:szCs w:val="28"/>
              </w:rPr>
              <w:t>项目</w:t>
            </w:r>
          </w:p>
        </w:tc>
        <w:tc>
          <w:tcPr>
            <w:tcW w:w="6202" w:type="dxa"/>
            <w:vAlign w:val="center"/>
          </w:tcPr>
          <w:p>
            <w:pPr>
              <w:spacing w:line="320" w:lineRule="atLeast"/>
              <w:jc w:val="center"/>
              <w:rPr>
                <w:rFonts w:ascii="黑体" w:hAnsi="黑体" w:eastAsia="黑体"/>
                <w:sz w:val="28"/>
                <w:szCs w:val="28"/>
              </w:rPr>
            </w:pPr>
            <w:r>
              <w:rPr>
                <w:rFonts w:hint="eastAsia" w:ascii="黑体" w:hAnsi="黑体" w:eastAsia="黑体"/>
                <w:sz w:val="28"/>
                <w:szCs w:val="28"/>
              </w:rPr>
              <w:t>明细</w:t>
            </w:r>
          </w:p>
        </w:tc>
        <w:tc>
          <w:tcPr>
            <w:tcW w:w="914" w:type="dxa"/>
            <w:vAlign w:val="center"/>
          </w:tcPr>
          <w:p>
            <w:pPr>
              <w:spacing w:line="320" w:lineRule="atLeast"/>
              <w:jc w:val="center"/>
              <w:rPr>
                <w:rFonts w:ascii="黑体" w:hAnsi="黑体" w:eastAsia="黑体"/>
                <w:sz w:val="28"/>
                <w:szCs w:val="28"/>
              </w:rPr>
            </w:pPr>
            <w:r>
              <w:rPr>
                <w:rFonts w:hint="eastAsia" w:ascii="黑体" w:hAnsi="黑体" w:eastAsia="黑体"/>
                <w:sz w:val="28"/>
                <w:szCs w:val="28"/>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30" w:type="dxa"/>
            <w:vAlign w:val="center"/>
          </w:tcPr>
          <w:p>
            <w:pPr>
              <w:spacing w:line="320" w:lineRule="atLeast"/>
              <w:jc w:val="center"/>
            </w:pPr>
            <w:r>
              <w:rPr>
                <w:rFonts w:hint="eastAsia"/>
              </w:rPr>
              <w:t>方案报价</w:t>
            </w:r>
          </w:p>
        </w:tc>
        <w:tc>
          <w:tcPr>
            <w:tcW w:w="6202" w:type="dxa"/>
            <w:vAlign w:val="center"/>
          </w:tcPr>
          <w:p>
            <w:pPr>
              <w:spacing w:line="320" w:lineRule="atLeast"/>
              <w:jc w:val="center"/>
            </w:pPr>
            <w:r>
              <w:rPr>
                <w:rFonts w:hint="eastAsia"/>
              </w:rPr>
              <w:t>团体保险报价</w:t>
            </w:r>
          </w:p>
        </w:tc>
        <w:tc>
          <w:tcPr>
            <w:tcW w:w="914" w:type="dxa"/>
            <w:vAlign w:val="center"/>
          </w:tcPr>
          <w:p>
            <w:pPr>
              <w:spacing w:line="320" w:lineRule="atLeast"/>
              <w:jc w:val="center"/>
            </w:pPr>
            <w:r>
              <w:rPr>
                <w:rFonts w:hint="eastAsi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230" w:type="dxa"/>
            <w:vAlign w:val="center"/>
          </w:tcPr>
          <w:p>
            <w:pPr>
              <w:spacing w:line="320" w:lineRule="atLeast"/>
              <w:jc w:val="center"/>
            </w:pPr>
            <w:r>
              <w:rPr>
                <w:rFonts w:hint="eastAsia"/>
              </w:rPr>
              <w:t>方案评价</w:t>
            </w:r>
          </w:p>
        </w:tc>
        <w:tc>
          <w:tcPr>
            <w:tcW w:w="6202" w:type="dxa"/>
            <w:vAlign w:val="center"/>
          </w:tcPr>
          <w:p>
            <w:pPr>
              <w:spacing w:line="320" w:lineRule="atLeast"/>
              <w:jc w:val="center"/>
            </w:pPr>
            <w:r>
              <w:rPr>
                <w:rFonts w:hint="eastAsia"/>
              </w:rPr>
              <w:t>方案设计合理，满足保障需求且方案中保额额度设计合理等</w:t>
            </w:r>
          </w:p>
        </w:tc>
        <w:tc>
          <w:tcPr>
            <w:tcW w:w="914" w:type="dxa"/>
            <w:vAlign w:val="center"/>
          </w:tcPr>
          <w:p>
            <w:pPr>
              <w:spacing w:line="320" w:lineRule="atLeast"/>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230" w:type="dxa"/>
            <w:vAlign w:val="center"/>
          </w:tcPr>
          <w:p>
            <w:pPr>
              <w:spacing w:line="320" w:lineRule="atLeast"/>
              <w:jc w:val="center"/>
            </w:pPr>
            <w:r>
              <w:rPr>
                <w:rFonts w:hint="eastAsia"/>
              </w:rPr>
              <w:t>客户服务</w:t>
            </w:r>
          </w:p>
        </w:tc>
        <w:tc>
          <w:tcPr>
            <w:tcW w:w="6202" w:type="dxa"/>
            <w:vAlign w:val="center"/>
          </w:tcPr>
          <w:p>
            <w:pPr>
              <w:spacing w:line="320" w:lineRule="atLeast"/>
              <w:jc w:val="center"/>
            </w:pPr>
            <w:r>
              <w:rPr>
                <w:rFonts w:hint="eastAsia"/>
              </w:rPr>
              <w:t>项目负责人及服务人员的经验、增值保障服务、偿付便捷度等</w:t>
            </w:r>
          </w:p>
        </w:tc>
        <w:tc>
          <w:tcPr>
            <w:tcW w:w="914" w:type="dxa"/>
            <w:vAlign w:val="center"/>
          </w:tcPr>
          <w:p>
            <w:pPr>
              <w:spacing w:line="320" w:lineRule="atLeast"/>
              <w:jc w:val="center"/>
            </w:pPr>
            <w:r>
              <w:rPr>
                <w:rFonts w:hint="eastAsi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230" w:type="dxa"/>
            <w:vAlign w:val="center"/>
          </w:tcPr>
          <w:p>
            <w:pPr>
              <w:spacing w:line="320" w:lineRule="atLeast"/>
              <w:jc w:val="center"/>
            </w:pPr>
            <w:r>
              <w:rPr>
                <w:rFonts w:hint="eastAsia"/>
              </w:rPr>
              <w:t>公司能力</w:t>
            </w:r>
          </w:p>
        </w:tc>
        <w:tc>
          <w:tcPr>
            <w:tcW w:w="6202" w:type="dxa"/>
            <w:vAlign w:val="center"/>
          </w:tcPr>
          <w:p>
            <w:pPr>
              <w:spacing w:line="320" w:lineRule="atLeast"/>
              <w:jc w:val="both"/>
              <w:rPr>
                <w:color w:val="FF0000"/>
              </w:rPr>
            </w:pPr>
            <w:r>
              <w:rPr>
                <w:rFonts w:hint="eastAsia"/>
                <w:color w:val="auto"/>
              </w:rPr>
              <w:t>市场项目经验（</w:t>
            </w:r>
            <w:r>
              <w:rPr>
                <w:rFonts w:hint="eastAsia"/>
                <w:color w:val="auto"/>
                <w:lang w:eastAsia="zh-CN"/>
              </w:rPr>
              <w:t>有与比选人所需服务一致的</w:t>
            </w:r>
            <w:r>
              <w:rPr>
                <w:rFonts w:hint="eastAsia"/>
                <w:color w:val="auto"/>
                <w:highlight w:val="none"/>
              </w:rPr>
              <w:t>相关业绩</w:t>
            </w:r>
            <w:r>
              <w:rPr>
                <w:rFonts w:hint="eastAsia"/>
                <w:color w:val="auto"/>
              </w:rPr>
              <w:t>）、完善的风险控制体系和具有连续经营和稳健的财务状况</w:t>
            </w:r>
          </w:p>
        </w:tc>
        <w:tc>
          <w:tcPr>
            <w:tcW w:w="914" w:type="dxa"/>
            <w:vAlign w:val="center"/>
          </w:tcPr>
          <w:p>
            <w:pPr>
              <w:spacing w:line="320" w:lineRule="atLeast"/>
              <w:jc w:val="center"/>
            </w:pPr>
            <w:r>
              <w:rPr>
                <w:rFonts w:hint="eastAsia"/>
              </w:rPr>
              <w:t>15%</w:t>
            </w:r>
          </w:p>
        </w:tc>
      </w:tr>
    </w:tbl>
    <w:p>
      <w:pPr>
        <w:spacing w:line="600" w:lineRule="exact"/>
        <w:ind w:firstLine="560" w:firstLineChars="200"/>
        <w:jc w:val="left"/>
        <w:rPr>
          <w:rFonts w:ascii="黑体" w:eastAsia="黑体"/>
          <w:sz w:val="28"/>
          <w:szCs w:val="28"/>
        </w:rPr>
      </w:pPr>
      <w:r>
        <w:rPr>
          <w:rFonts w:hint="eastAsia" w:ascii="黑体" w:eastAsia="黑体"/>
          <w:sz w:val="28"/>
          <w:szCs w:val="28"/>
        </w:rPr>
        <w:t>五、比选日程安排</w:t>
      </w:r>
    </w:p>
    <w:p>
      <w:pPr>
        <w:spacing w:after="50" w:line="420" w:lineRule="exact"/>
        <w:ind w:firstLine="560" w:firstLineChars="200"/>
        <w:rPr>
          <w:rFonts w:ascii="仿宋_GB2312" w:eastAsia="仿宋_GB2312"/>
          <w:sz w:val="28"/>
          <w:szCs w:val="28"/>
        </w:rPr>
      </w:pPr>
      <w:r>
        <w:rPr>
          <w:rFonts w:hint="eastAsia" w:ascii="仿宋_GB2312" w:eastAsia="仿宋_GB2312"/>
          <w:sz w:val="28"/>
          <w:szCs w:val="28"/>
        </w:rPr>
        <w:t>（一）比选人将于</w:t>
      </w:r>
      <w:r>
        <w:rPr>
          <w:rFonts w:ascii="仿宋_GB2312" w:eastAsia="仿宋_GB2312"/>
          <w:sz w:val="28"/>
          <w:szCs w:val="28"/>
        </w:rPr>
        <w:t>20</w:t>
      </w:r>
      <w:r>
        <w:rPr>
          <w:rFonts w:hint="eastAsia" w:ascii="仿宋_GB2312" w:eastAsia="仿宋_GB2312"/>
          <w:sz w:val="28"/>
          <w:szCs w:val="28"/>
        </w:rPr>
        <w:t>21年</w:t>
      </w:r>
      <w:r>
        <w:rPr>
          <w:rFonts w:ascii="仿宋_GB2312" w:eastAsia="仿宋_GB2312"/>
          <w:sz w:val="28"/>
          <w:szCs w:val="28"/>
        </w:rPr>
        <w:t>1</w:t>
      </w:r>
      <w:r>
        <w:rPr>
          <w:rFonts w:hint="eastAsia" w:ascii="仿宋_GB2312" w:eastAsia="仿宋_GB2312"/>
          <w:sz w:val="28"/>
          <w:szCs w:val="28"/>
          <w:lang w:val="en-US" w:eastAsia="zh-CN"/>
        </w:rPr>
        <w:t>1</w:t>
      </w:r>
      <w:r>
        <w:rPr>
          <w:rFonts w:hint="eastAsia" w:ascii="仿宋_GB2312" w:eastAsia="仿宋_GB2312"/>
          <w:sz w:val="28"/>
          <w:szCs w:val="28"/>
        </w:rPr>
        <w:t>月</w:t>
      </w:r>
      <w:r>
        <w:rPr>
          <w:rFonts w:hint="eastAsia" w:ascii="仿宋_GB2312" w:eastAsia="仿宋_GB2312"/>
          <w:sz w:val="28"/>
          <w:szCs w:val="28"/>
          <w:lang w:val="en-US" w:eastAsia="zh-CN"/>
        </w:rPr>
        <w:t>24</w:t>
      </w:r>
      <w:r>
        <w:rPr>
          <w:rFonts w:hint="eastAsia" w:ascii="仿宋_GB2312" w:eastAsia="仿宋_GB2312"/>
          <w:sz w:val="28"/>
          <w:szCs w:val="28"/>
        </w:rPr>
        <w:t>日至1</w:t>
      </w:r>
      <w:r>
        <w:rPr>
          <w:rFonts w:hint="eastAsia" w:ascii="仿宋_GB2312" w:eastAsia="仿宋_GB2312"/>
          <w:sz w:val="28"/>
          <w:szCs w:val="28"/>
          <w:lang w:val="en-US" w:eastAsia="zh-CN"/>
        </w:rPr>
        <w:t>1</w:t>
      </w:r>
      <w:r>
        <w:rPr>
          <w:rFonts w:hint="eastAsia" w:ascii="仿宋_GB2312" w:eastAsia="仿宋_GB2312"/>
          <w:sz w:val="28"/>
          <w:szCs w:val="28"/>
        </w:rPr>
        <w:t>月</w:t>
      </w:r>
      <w:r>
        <w:rPr>
          <w:rFonts w:hint="eastAsia" w:ascii="仿宋_GB2312" w:eastAsia="仿宋_GB2312"/>
          <w:sz w:val="28"/>
          <w:szCs w:val="28"/>
          <w:lang w:val="en-US" w:eastAsia="zh-CN"/>
        </w:rPr>
        <w:t>30</w:t>
      </w:r>
      <w:r>
        <w:rPr>
          <w:rFonts w:hint="eastAsia" w:ascii="仿宋_GB2312" w:eastAsia="仿宋_GB2312"/>
          <w:sz w:val="28"/>
          <w:szCs w:val="28"/>
        </w:rPr>
        <w:t>日在都江堰轨道交通有限责任公司官网</w:t>
      </w:r>
      <w:r>
        <w:rPr>
          <w:rFonts w:ascii="仿宋_GB2312" w:eastAsia="仿宋_GB2312"/>
          <w:sz w:val="28"/>
          <w:szCs w:val="28"/>
        </w:rPr>
        <w:fldChar w:fldCharType="begin"/>
      </w:r>
      <w:r>
        <w:rPr>
          <w:rFonts w:ascii="仿宋_GB2312" w:eastAsia="仿宋_GB2312"/>
          <w:sz w:val="28"/>
          <w:szCs w:val="28"/>
        </w:rPr>
        <w:instrText xml:space="preserve"> </w:instrText>
      </w:r>
      <w:r>
        <w:rPr>
          <w:rFonts w:hint="eastAsia" w:ascii="仿宋_GB2312" w:eastAsia="仿宋_GB2312"/>
          <w:sz w:val="28"/>
          <w:szCs w:val="28"/>
        </w:rPr>
        <w:instrText xml:space="preserve">HYPERLINK "http://www.djygdjt.cn/"</w:instrText>
      </w:r>
      <w:r>
        <w:rPr>
          <w:rFonts w:ascii="仿宋_GB2312" w:eastAsia="仿宋_GB2312"/>
          <w:sz w:val="28"/>
          <w:szCs w:val="28"/>
        </w:rPr>
        <w:instrText xml:space="preserve"> </w:instrText>
      </w:r>
      <w:r>
        <w:rPr>
          <w:rFonts w:ascii="仿宋_GB2312" w:eastAsia="仿宋_GB2312"/>
          <w:sz w:val="28"/>
          <w:szCs w:val="28"/>
        </w:rPr>
        <w:fldChar w:fldCharType="separate"/>
      </w:r>
      <w:r>
        <w:rPr>
          <w:rFonts w:hint="eastAsia" w:ascii="仿宋_GB2312" w:eastAsia="仿宋_GB2312"/>
          <w:sz w:val="28"/>
          <w:szCs w:val="28"/>
        </w:rPr>
        <w:t>http://www.djygdjt.cn/</w:t>
      </w:r>
      <w:r>
        <w:rPr>
          <w:rFonts w:ascii="仿宋_GB2312" w:eastAsia="仿宋_GB2312"/>
          <w:sz w:val="28"/>
          <w:szCs w:val="28"/>
        </w:rPr>
        <w:fldChar w:fldCharType="end"/>
      </w:r>
      <w:r>
        <w:rPr>
          <w:rFonts w:hint="eastAsia" w:ascii="仿宋_GB2312" w:eastAsia="仿宋_GB2312"/>
          <w:sz w:val="28"/>
          <w:szCs w:val="28"/>
        </w:rPr>
        <w:t>、西南联合产权</w:t>
      </w:r>
      <w:r>
        <w:rPr>
          <w:rFonts w:hint="eastAsia"/>
        </w:rPr>
        <w:t>交</w:t>
      </w:r>
      <w:r>
        <w:rPr>
          <w:rFonts w:hint="eastAsia" w:ascii="仿宋_GB2312" w:eastAsia="仿宋_GB2312"/>
          <w:sz w:val="28"/>
          <w:szCs w:val="28"/>
        </w:rPr>
        <w:t>易所电子招采平台网站（https://www.swuee.com/#/purchase/index）发布比选通知</w:t>
      </w:r>
      <w:r>
        <w:rPr>
          <w:rFonts w:hint="eastAsia" w:ascii="仿宋_GB2312" w:eastAsia="仿宋_GB2312"/>
          <w:sz w:val="28"/>
          <w:szCs w:val="28"/>
          <w:lang w:eastAsia="zh-CN"/>
        </w:rPr>
        <w:t>，有意参与本项目的参选人在</w:t>
      </w:r>
      <w:r>
        <w:rPr>
          <w:rFonts w:hint="eastAsia" w:ascii="仿宋_GB2312" w:eastAsia="仿宋_GB2312"/>
          <w:sz w:val="28"/>
          <w:szCs w:val="28"/>
        </w:rPr>
        <w:t>西南联合产权交易所电子招采平台网站按照网上操作流程（资料下载-供应商操作手册）获取</w:t>
      </w:r>
      <w:r>
        <w:rPr>
          <w:rFonts w:hint="eastAsia" w:ascii="仿宋_GB2312" w:eastAsia="仿宋_GB2312"/>
          <w:sz w:val="28"/>
          <w:szCs w:val="28"/>
          <w:lang w:eastAsia="zh-CN"/>
        </w:rPr>
        <w:t>比选</w:t>
      </w:r>
      <w:r>
        <w:rPr>
          <w:rFonts w:hint="eastAsia" w:ascii="仿宋_GB2312" w:eastAsia="仿宋_GB2312"/>
          <w:sz w:val="28"/>
          <w:szCs w:val="28"/>
        </w:rPr>
        <w:t>文件</w:t>
      </w:r>
      <w:r>
        <w:rPr>
          <w:rFonts w:hint="eastAsia" w:ascii="仿宋_GB2312" w:eastAsia="仿宋_GB2312"/>
          <w:sz w:val="28"/>
          <w:szCs w:val="28"/>
          <w:lang w:eastAsia="zh-CN"/>
        </w:rPr>
        <w:t>并在系统中报名</w:t>
      </w:r>
      <w:r>
        <w:rPr>
          <w:rFonts w:hint="eastAsia" w:ascii="仿宋_GB2312" w:eastAsia="仿宋_GB2312"/>
          <w:sz w:val="28"/>
          <w:szCs w:val="28"/>
        </w:rPr>
        <w:t>。</w:t>
      </w:r>
    </w:p>
    <w:p>
      <w:pPr>
        <w:spacing w:line="600" w:lineRule="exact"/>
        <w:ind w:firstLine="560" w:firstLineChars="200"/>
        <w:jc w:val="left"/>
        <w:rPr>
          <w:rFonts w:ascii="仿宋_GB2312" w:eastAsia="仿宋_GB2312"/>
          <w:color w:val="auto"/>
          <w:sz w:val="28"/>
          <w:szCs w:val="28"/>
        </w:rPr>
      </w:pPr>
      <w:r>
        <w:rPr>
          <w:rFonts w:hint="eastAsia" w:ascii="仿宋_GB2312" w:eastAsia="仿宋_GB2312"/>
          <w:sz w:val="28"/>
          <w:szCs w:val="28"/>
        </w:rPr>
        <w:t>（二）参选职工补充医疗保险公司按照都江堰轨道交通有限责任公司要求于</w:t>
      </w:r>
      <w:r>
        <w:rPr>
          <w:rFonts w:ascii="仿宋_GB2312" w:eastAsia="仿宋_GB2312"/>
          <w:sz w:val="28"/>
          <w:szCs w:val="28"/>
        </w:rPr>
        <w:t>20</w:t>
      </w:r>
      <w:r>
        <w:rPr>
          <w:rFonts w:hint="eastAsia" w:ascii="仿宋_GB2312" w:eastAsia="仿宋_GB2312"/>
          <w:sz w:val="28"/>
          <w:szCs w:val="28"/>
        </w:rPr>
        <w:t>2</w:t>
      </w:r>
      <w:r>
        <w:rPr>
          <w:rFonts w:hint="eastAsia" w:ascii="仿宋_GB2312" w:eastAsia="仿宋_GB2312"/>
          <w:sz w:val="28"/>
          <w:szCs w:val="28"/>
          <w:lang w:val="en-US" w:eastAsia="zh-CN"/>
        </w:rPr>
        <w:t>1</w:t>
      </w:r>
      <w:r>
        <w:rPr>
          <w:rFonts w:hint="eastAsia" w:ascii="仿宋_GB2312" w:eastAsia="仿宋_GB2312"/>
          <w:sz w:val="28"/>
          <w:szCs w:val="28"/>
        </w:rPr>
        <w:t>年1</w:t>
      </w:r>
      <w:r>
        <w:rPr>
          <w:rFonts w:hint="eastAsia" w:ascii="仿宋_GB2312" w:eastAsia="仿宋_GB2312"/>
          <w:sz w:val="28"/>
          <w:szCs w:val="28"/>
          <w:lang w:val="en-US" w:eastAsia="zh-CN"/>
        </w:rPr>
        <w:t>2</w:t>
      </w:r>
      <w:r>
        <w:rPr>
          <w:rFonts w:hint="eastAsia" w:ascii="仿宋_GB2312" w:eastAsia="仿宋_GB2312"/>
          <w:sz w:val="28"/>
          <w:szCs w:val="28"/>
        </w:rPr>
        <w:t>月</w:t>
      </w:r>
      <w:r>
        <w:rPr>
          <w:rFonts w:hint="eastAsia" w:ascii="仿宋_GB2312" w:eastAsia="仿宋_GB2312"/>
          <w:sz w:val="28"/>
          <w:szCs w:val="28"/>
          <w:lang w:val="en-US" w:eastAsia="zh-CN"/>
        </w:rPr>
        <w:t>2</w:t>
      </w:r>
      <w:r>
        <w:rPr>
          <w:rFonts w:hint="eastAsia" w:ascii="仿宋_GB2312" w:eastAsia="仿宋_GB2312"/>
          <w:sz w:val="28"/>
          <w:szCs w:val="28"/>
        </w:rPr>
        <w:t>日1</w:t>
      </w:r>
      <w:r>
        <w:rPr>
          <w:rFonts w:ascii="仿宋_GB2312" w:eastAsia="仿宋_GB2312"/>
          <w:sz w:val="28"/>
          <w:szCs w:val="28"/>
        </w:rPr>
        <w:t>0</w:t>
      </w:r>
      <w:r>
        <w:rPr>
          <w:rFonts w:hint="eastAsia" w:ascii="仿宋_GB2312" w:eastAsia="仿宋_GB2312"/>
          <w:sz w:val="28"/>
          <w:szCs w:val="28"/>
        </w:rPr>
        <w:t>：00前，将按照本比选文件的要求将密封好的比选申请书递交到我公司</w:t>
      </w:r>
      <w:r>
        <w:rPr>
          <w:rFonts w:hint="eastAsia" w:ascii="仿宋_GB2312" w:eastAsia="仿宋_GB2312"/>
          <w:color w:val="auto"/>
          <w:sz w:val="28"/>
          <w:szCs w:val="28"/>
        </w:rPr>
        <w:t>（</w:t>
      </w:r>
      <w:r>
        <w:rPr>
          <w:rFonts w:hint="eastAsia" w:ascii="仿宋_GB2312" w:eastAsia="仿宋_GB2312"/>
          <w:color w:val="auto"/>
          <w:sz w:val="28"/>
          <w:szCs w:val="28"/>
          <w:lang w:eastAsia="zh-CN"/>
        </w:rPr>
        <w:t>地址：四川省成都市都江堰市新益社区</w:t>
      </w:r>
      <w:r>
        <w:rPr>
          <w:rFonts w:hint="eastAsia" w:ascii="仿宋_GB2312" w:eastAsia="仿宋_GB2312"/>
          <w:color w:val="auto"/>
          <w:sz w:val="28"/>
          <w:szCs w:val="28"/>
          <w:lang w:val="en-US" w:eastAsia="zh-CN"/>
        </w:rPr>
        <w:t>14组99号都江堰轨道交通有限责任公司</w:t>
      </w:r>
      <w:r>
        <w:rPr>
          <w:rFonts w:hint="eastAsia" w:ascii="仿宋_GB2312" w:eastAsia="仿宋_GB2312"/>
          <w:color w:val="auto"/>
          <w:sz w:val="28"/>
          <w:szCs w:val="28"/>
        </w:rPr>
        <w:t>）；</w:t>
      </w:r>
    </w:p>
    <w:p>
      <w:pPr>
        <w:ind w:firstLine="560" w:firstLineChars="200"/>
        <w:jc w:val="left"/>
        <w:rPr>
          <w:rFonts w:ascii="仿宋_GB2312" w:eastAsia="仿宋_GB2312"/>
          <w:sz w:val="28"/>
          <w:szCs w:val="28"/>
        </w:rPr>
      </w:pPr>
      <w:r>
        <w:rPr>
          <w:rFonts w:hint="eastAsia" w:ascii="仿宋_GB2312" w:eastAsia="仿宋_GB2312"/>
          <w:color w:val="auto"/>
          <w:sz w:val="28"/>
          <w:szCs w:val="28"/>
        </w:rPr>
        <w:t>（三）比选人在确定中选人后3个工作日内</w:t>
      </w:r>
      <w:r>
        <w:rPr>
          <w:rFonts w:hint="eastAsia" w:ascii="仿宋_GB2312" w:eastAsia="仿宋_GB2312"/>
          <w:sz w:val="28"/>
          <w:szCs w:val="28"/>
        </w:rPr>
        <w:t>向中选人发出中选通知，由双方协商签订职工补充医疗保险合同。</w:t>
      </w:r>
    </w:p>
    <w:p>
      <w:pPr>
        <w:autoSpaceDE w:val="0"/>
        <w:spacing w:line="520" w:lineRule="exact"/>
        <w:ind w:firstLine="560" w:firstLineChars="200"/>
        <w:jc w:val="left"/>
        <w:rPr>
          <w:rFonts w:ascii="仿宋_GB2312" w:eastAsia="仿宋_GB2312"/>
          <w:sz w:val="28"/>
          <w:szCs w:val="28"/>
        </w:rPr>
      </w:pPr>
      <w:r>
        <w:rPr>
          <w:rFonts w:hint="eastAsia" w:ascii="仿宋_GB2312" w:eastAsia="仿宋_GB2312"/>
          <w:sz w:val="28"/>
          <w:szCs w:val="28"/>
        </w:rPr>
        <w:t>比选联系人：程女士；联系人电话为：13551844665。</w:t>
      </w:r>
    </w:p>
    <w:p>
      <w:pPr>
        <w:ind w:firstLine="560" w:firstLineChars="200"/>
        <w:jc w:val="left"/>
        <w:rPr>
          <w:rFonts w:ascii="仿宋_GB2312" w:eastAsia="仿宋_GB2312"/>
          <w:sz w:val="28"/>
          <w:szCs w:val="28"/>
        </w:rPr>
      </w:pPr>
    </w:p>
    <w:p>
      <w:pPr>
        <w:widowControl/>
        <w:jc w:val="left"/>
        <w:rPr>
          <w:rFonts w:ascii="黑体" w:eastAsia="黑体"/>
          <w:sz w:val="36"/>
          <w:szCs w:val="36"/>
        </w:rPr>
      </w:pPr>
      <w:r>
        <w:rPr>
          <w:rFonts w:ascii="黑体" w:eastAsia="黑体"/>
          <w:sz w:val="36"/>
          <w:szCs w:val="36"/>
        </w:rPr>
        <w:br w:type="page"/>
      </w:r>
    </w:p>
    <w:p>
      <w:pPr>
        <w:jc w:val="center"/>
        <w:rPr>
          <w:rFonts w:ascii="黑体" w:eastAsia="黑体"/>
          <w:sz w:val="36"/>
          <w:szCs w:val="36"/>
        </w:rPr>
      </w:pPr>
      <w:r>
        <w:rPr>
          <w:rFonts w:hint="eastAsia" w:ascii="黑体" w:eastAsia="黑体"/>
          <w:sz w:val="36"/>
          <w:szCs w:val="36"/>
        </w:rPr>
        <w:t>第二章 比选申请书的组成及编制要求</w:t>
      </w:r>
    </w:p>
    <w:p>
      <w:pPr>
        <w:ind w:firstLine="560" w:firstLineChars="200"/>
        <w:jc w:val="left"/>
        <w:rPr>
          <w:rFonts w:ascii="黑体" w:eastAsia="黑体"/>
          <w:sz w:val="28"/>
          <w:szCs w:val="28"/>
        </w:rPr>
      </w:pPr>
      <w:r>
        <w:rPr>
          <w:rFonts w:hint="eastAsia" w:ascii="黑体" w:eastAsia="黑体"/>
          <w:sz w:val="28"/>
          <w:szCs w:val="28"/>
        </w:rPr>
        <w:t>一、比选申请书编制说明</w:t>
      </w:r>
    </w:p>
    <w:p>
      <w:pPr>
        <w:ind w:firstLine="560" w:firstLineChars="200"/>
        <w:rPr>
          <w:rFonts w:ascii="仿宋_GB2312" w:eastAsia="仿宋_GB2312"/>
          <w:sz w:val="28"/>
          <w:szCs w:val="28"/>
        </w:rPr>
      </w:pPr>
      <w:r>
        <w:rPr>
          <w:rFonts w:hint="eastAsia" w:ascii="仿宋_GB2312" w:eastAsia="仿宋_GB2312"/>
          <w:sz w:val="28"/>
          <w:szCs w:val="28"/>
        </w:rPr>
        <w:t>本次比选，申请书要求递交纸质文本2份（正本</w:t>
      </w:r>
      <w:r>
        <w:rPr>
          <w:rFonts w:ascii="仿宋_GB2312" w:eastAsia="仿宋_GB2312"/>
          <w:sz w:val="28"/>
          <w:szCs w:val="28"/>
        </w:rPr>
        <w:t xml:space="preserve"> 1 </w:t>
      </w:r>
      <w:r>
        <w:rPr>
          <w:rFonts w:hint="eastAsia" w:ascii="仿宋_GB2312" w:eastAsia="仿宋_GB2312"/>
          <w:sz w:val="28"/>
          <w:szCs w:val="28"/>
        </w:rPr>
        <w:t>份，副本1份）。正本、副本封面必须分别加盖“正本”、“副本”章及参选人公章；若正、副本内容不一致时，以正本内容为准。</w:t>
      </w:r>
    </w:p>
    <w:p>
      <w:pPr>
        <w:ind w:firstLine="560" w:firstLineChars="200"/>
        <w:jc w:val="left"/>
        <w:rPr>
          <w:rFonts w:ascii="仿宋_GB2312" w:eastAsia="仿宋_GB2312"/>
          <w:sz w:val="28"/>
          <w:szCs w:val="28"/>
        </w:rPr>
      </w:pPr>
      <w:r>
        <w:rPr>
          <w:rFonts w:hint="eastAsia" w:ascii="黑体" w:eastAsia="黑体"/>
          <w:sz w:val="28"/>
          <w:szCs w:val="28"/>
        </w:rPr>
        <w:t>二、比选申请书的组成及编制要求</w:t>
      </w:r>
    </w:p>
    <w:p>
      <w:pPr>
        <w:ind w:firstLine="560" w:firstLineChars="200"/>
        <w:rPr>
          <w:rFonts w:ascii="仿宋_GB2312" w:eastAsia="仿宋_GB2312"/>
          <w:sz w:val="28"/>
          <w:szCs w:val="28"/>
        </w:rPr>
      </w:pPr>
      <w:r>
        <w:rPr>
          <w:rFonts w:hint="eastAsia" w:ascii="仿宋_GB2312" w:eastAsia="仿宋_GB2312"/>
          <w:sz w:val="28"/>
          <w:szCs w:val="28"/>
        </w:rPr>
        <w:t>参选人应按照比选申请文件组成的先后顺序编制。比选文件要求的证明文件，参选人必须提供；比选文件没有要求的证明文件，参选人认为需要提供的，也可以提供。</w:t>
      </w:r>
    </w:p>
    <w:p>
      <w:pPr>
        <w:ind w:firstLine="560" w:firstLineChars="200"/>
        <w:rPr>
          <w:rFonts w:ascii="仿宋_GB2312" w:eastAsia="仿宋_GB2312"/>
          <w:sz w:val="28"/>
          <w:szCs w:val="28"/>
        </w:rPr>
      </w:pPr>
      <w:r>
        <w:rPr>
          <w:rFonts w:hint="eastAsia" w:ascii="仿宋_GB2312" w:eastAsia="仿宋_GB2312"/>
          <w:sz w:val="28"/>
          <w:szCs w:val="28"/>
        </w:rPr>
        <w:t>比选申请书应包含但不限于下列内容（按下列顺序装订）：</w:t>
      </w:r>
    </w:p>
    <w:p>
      <w:pPr>
        <w:ind w:firstLine="560" w:firstLineChars="200"/>
        <w:rPr>
          <w:rFonts w:ascii="仿宋_GB2312" w:eastAsia="仿宋_GB2312"/>
          <w:sz w:val="28"/>
          <w:szCs w:val="28"/>
        </w:rPr>
      </w:pPr>
      <w:r>
        <w:rPr>
          <w:rFonts w:hint="eastAsia" w:ascii="仿宋_GB2312" w:eastAsia="仿宋_GB2312"/>
          <w:sz w:val="28"/>
          <w:szCs w:val="28"/>
        </w:rPr>
        <w:t>（一）封面；</w:t>
      </w:r>
    </w:p>
    <w:p>
      <w:pPr>
        <w:ind w:firstLine="560" w:firstLineChars="200"/>
        <w:rPr>
          <w:rFonts w:ascii="仿宋_GB2312" w:eastAsia="仿宋_GB2312"/>
          <w:sz w:val="28"/>
          <w:szCs w:val="28"/>
        </w:rPr>
      </w:pPr>
      <w:r>
        <w:rPr>
          <w:rFonts w:hint="eastAsia" w:ascii="仿宋_GB2312" w:eastAsia="仿宋_GB2312"/>
          <w:sz w:val="28"/>
          <w:szCs w:val="28"/>
        </w:rPr>
        <w:t>（二）负责人身份证明书（须盖章）；</w:t>
      </w:r>
    </w:p>
    <w:p>
      <w:pPr>
        <w:ind w:firstLine="560" w:firstLineChars="200"/>
        <w:rPr>
          <w:rFonts w:ascii="仿宋_GB2312" w:eastAsia="仿宋_GB2312"/>
          <w:sz w:val="28"/>
          <w:szCs w:val="28"/>
        </w:rPr>
      </w:pPr>
      <w:r>
        <w:rPr>
          <w:rFonts w:hint="eastAsia" w:ascii="仿宋_GB2312" w:eastAsia="仿宋_GB2312"/>
          <w:sz w:val="28"/>
          <w:szCs w:val="28"/>
        </w:rPr>
        <w:t>（三）负责人授权委托书（须盖章、负责人签字。若参选人的负责人亲自参加的，则可不提供）；</w:t>
      </w:r>
    </w:p>
    <w:p>
      <w:pPr>
        <w:ind w:firstLine="560" w:firstLineChars="200"/>
        <w:rPr>
          <w:rFonts w:ascii="仿宋_GB2312" w:eastAsia="仿宋_GB2312"/>
          <w:sz w:val="28"/>
          <w:szCs w:val="28"/>
        </w:rPr>
      </w:pPr>
      <w:r>
        <w:rPr>
          <w:rFonts w:hint="eastAsia" w:ascii="仿宋_GB2312" w:eastAsia="仿宋_GB2312"/>
          <w:sz w:val="28"/>
          <w:szCs w:val="28"/>
        </w:rPr>
        <w:t>（四）服务费报价函（须盖章、负责人签字）；</w:t>
      </w:r>
    </w:p>
    <w:p>
      <w:pPr>
        <w:ind w:firstLine="560" w:firstLineChars="200"/>
        <w:rPr>
          <w:rFonts w:ascii="仿宋_GB2312" w:eastAsia="仿宋_GB2312"/>
          <w:sz w:val="28"/>
          <w:szCs w:val="28"/>
        </w:rPr>
      </w:pPr>
      <w:r>
        <w:rPr>
          <w:rFonts w:hint="eastAsia" w:ascii="仿宋_GB2312" w:eastAsia="仿宋_GB2312"/>
          <w:sz w:val="28"/>
          <w:szCs w:val="28"/>
        </w:rPr>
        <w:t>（五）比选申请书（须盖章、负责人签字）；</w:t>
      </w:r>
    </w:p>
    <w:p>
      <w:pPr>
        <w:ind w:firstLine="560" w:firstLineChars="200"/>
        <w:rPr>
          <w:rFonts w:ascii="仿宋_GB2312" w:eastAsia="仿宋_GB2312"/>
          <w:sz w:val="28"/>
          <w:szCs w:val="28"/>
        </w:rPr>
      </w:pPr>
      <w:r>
        <w:rPr>
          <w:rFonts w:hint="eastAsia" w:ascii="仿宋_GB2312" w:eastAsia="仿宋_GB2312"/>
          <w:sz w:val="28"/>
          <w:szCs w:val="28"/>
        </w:rPr>
        <w:t>（六）相关信息（请按比选须知第四项内容准备）；</w:t>
      </w:r>
    </w:p>
    <w:p>
      <w:pPr>
        <w:ind w:firstLine="560" w:firstLineChars="200"/>
        <w:rPr>
          <w:rFonts w:ascii="仿宋_GB2312" w:eastAsia="仿宋_GB2312"/>
          <w:sz w:val="28"/>
          <w:szCs w:val="28"/>
        </w:rPr>
      </w:pPr>
      <w:r>
        <w:rPr>
          <w:rFonts w:hint="eastAsia" w:ascii="仿宋_GB2312" w:eastAsia="仿宋_GB2312"/>
          <w:sz w:val="28"/>
          <w:szCs w:val="28"/>
        </w:rPr>
        <w:t>（七）基本业务及业绩简介（须准备能证明相应业绩的原件供核查）；</w:t>
      </w:r>
    </w:p>
    <w:p>
      <w:pPr>
        <w:ind w:firstLine="560" w:firstLineChars="200"/>
        <w:rPr>
          <w:rFonts w:ascii="仿宋_GB2312" w:eastAsia="仿宋_GB2312"/>
          <w:sz w:val="28"/>
          <w:szCs w:val="28"/>
        </w:rPr>
      </w:pPr>
      <w:r>
        <w:rPr>
          <w:rFonts w:hint="eastAsia" w:ascii="仿宋_GB2312" w:eastAsia="仿宋_GB2312"/>
          <w:sz w:val="28"/>
          <w:szCs w:val="28"/>
        </w:rPr>
        <w:t>（八）服务及实施方案简述；</w:t>
      </w:r>
    </w:p>
    <w:p>
      <w:pPr>
        <w:ind w:firstLine="560" w:firstLineChars="200"/>
        <w:rPr>
          <w:rFonts w:ascii="仿宋_GB2312" w:eastAsia="仿宋_GB2312"/>
          <w:sz w:val="28"/>
          <w:szCs w:val="28"/>
        </w:rPr>
      </w:pPr>
      <w:r>
        <w:rPr>
          <w:rFonts w:hint="eastAsia" w:ascii="仿宋_GB2312" w:eastAsia="仿宋_GB2312"/>
          <w:sz w:val="28"/>
          <w:szCs w:val="28"/>
        </w:rPr>
        <w:t>（九）其他需要提供的证明材料。</w:t>
      </w:r>
    </w:p>
    <w:p>
      <w:pPr>
        <w:rPr>
          <w:rFonts w:ascii="黑体" w:hAnsi="新宋体" w:eastAsia="黑体"/>
          <w:b/>
          <w:sz w:val="28"/>
          <w:szCs w:val="28"/>
        </w:rPr>
      </w:pPr>
    </w:p>
    <w:p>
      <w:pPr>
        <w:rPr>
          <w:rFonts w:ascii="仿宋_GB2312" w:hAnsi="宋体" w:eastAsia="仿宋_GB2312"/>
          <w:color w:val="000000"/>
          <w:kern w:val="0"/>
          <w:sz w:val="36"/>
          <w:szCs w:val="36"/>
        </w:rPr>
      </w:pPr>
      <w:r>
        <w:rPr>
          <w:rFonts w:hint="eastAsia" w:ascii="黑体" w:hAnsi="新宋体" w:eastAsia="黑体"/>
          <w:b/>
          <w:sz w:val="28"/>
          <w:szCs w:val="28"/>
        </w:rPr>
        <w:t>（附有关格式）</w:t>
      </w:r>
    </w:p>
    <w:p>
      <w:pPr>
        <w:autoSpaceDE w:val="0"/>
        <w:autoSpaceDN w:val="0"/>
        <w:adjustRightInd w:val="0"/>
        <w:jc w:val="left"/>
        <w:rPr>
          <w:rFonts w:ascii="仿宋_GB2312" w:hAnsi="宋体" w:eastAsia="仿宋_GB2312"/>
          <w:b/>
          <w:color w:val="000000"/>
          <w:kern w:val="0"/>
          <w:sz w:val="32"/>
          <w:szCs w:val="32"/>
        </w:rPr>
      </w:pPr>
      <w:r>
        <w:rPr>
          <w:rFonts w:hint="eastAsia" w:ascii="仿宋_GB2312" w:hAnsi="宋体" w:eastAsia="仿宋_GB2312"/>
          <w:color w:val="000000"/>
          <w:kern w:val="0"/>
          <w:sz w:val="36"/>
          <w:szCs w:val="36"/>
        </w:rPr>
        <w:t>格式1</w:t>
      </w:r>
      <w:r>
        <w:rPr>
          <w:rFonts w:hint="eastAsia" w:ascii="仿宋_GB2312" w:hAnsi="宋体" w:eastAsia="仿宋_GB2312"/>
          <w:color w:val="000000"/>
          <w:kern w:val="0"/>
          <w:sz w:val="32"/>
          <w:szCs w:val="32"/>
        </w:rPr>
        <w:t xml:space="preserve"> </w:t>
      </w:r>
      <w:r>
        <w:rPr>
          <w:rFonts w:hint="eastAsia" w:ascii="仿宋_GB2312" w:hAnsi="宋体" w:eastAsia="仿宋_GB2312"/>
          <w:b/>
          <w:color w:val="000000"/>
          <w:kern w:val="0"/>
          <w:sz w:val="32"/>
          <w:szCs w:val="32"/>
        </w:rPr>
        <w:t>参选文件封面</w:t>
      </w:r>
    </w:p>
    <w:p>
      <w:pPr>
        <w:autoSpaceDE w:val="0"/>
        <w:autoSpaceDN w:val="0"/>
        <w:adjustRightInd w:val="0"/>
        <w:jc w:val="center"/>
        <w:rPr>
          <w:rFonts w:ascii="方正小标宋简体" w:hAnsi="宋体" w:eastAsia="方正小标宋简体" w:cs="仿宋_GB2312"/>
          <w:b/>
          <w:color w:val="000000"/>
          <w:kern w:val="0"/>
          <w:sz w:val="44"/>
          <w:szCs w:val="44"/>
        </w:rPr>
      </w:pPr>
    </w:p>
    <w:p>
      <w:pPr>
        <w:autoSpaceDE w:val="0"/>
        <w:autoSpaceDN w:val="0"/>
        <w:adjustRightInd w:val="0"/>
        <w:jc w:val="center"/>
        <w:rPr>
          <w:rFonts w:ascii="黑体" w:hAnsi="黑体" w:eastAsia="黑体"/>
          <w:b/>
          <w:color w:val="000000"/>
          <w:kern w:val="0"/>
          <w:sz w:val="44"/>
          <w:szCs w:val="44"/>
        </w:rPr>
      </w:pPr>
      <w:r>
        <w:rPr>
          <w:rFonts w:hint="eastAsia" w:ascii="黑体" w:hAnsi="黑体" w:eastAsia="黑体"/>
          <w:b/>
          <w:color w:val="000000"/>
          <w:kern w:val="0"/>
          <w:sz w:val="44"/>
          <w:szCs w:val="44"/>
        </w:rPr>
        <w:t>都江堰轨道交通有限责任公司</w:t>
      </w:r>
    </w:p>
    <w:p>
      <w:pPr>
        <w:autoSpaceDE w:val="0"/>
        <w:autoSpaceDN w:val="0"/>
        <w:adjustRightInd w:val="0"/>
        <w:jc w:val="center"/>
        <w:rPr>
          <w:rFonts w:ascii="黑体" w:hAnsi="黑体" w:eastAsia="黑体"/>
          <w:b/>
          <w:color w:val="000000"/>
          <w:kern w:val="0"/>
          <w:sz w:val="44"/>
          <w:szCs w:val="44"/>
        </w:rPr>
      </w:pPr>
      <w:r>
        <w:rPr>
          <w:rFonts w:hint="eastAsia" w:ascii="黑体" w:hAnsi="黑体" w:eastAsia="黑体"/>
          <w:b/>
          <w:color w:val="000000"/>
          <w:kern w:val="0"/>
          <w:sz w:val="44"/>
          <w:szCs w:val="44"/>
        </w:rPr>
        <w:t>职工补充医疗保险机构比选</w:t>
      </w:r>
    </w:p>
    <w:p>
      <w:pPr>
        <w:autoSpaceDE w:val="0"/>
        <w:autoSpaceDN w:val="0"/>
        <w:adjustRightInd w:val="0"/>
        <w:jc w:val="left"/>
        <w:rPr>
          <w:rFonts w:ascii="仿宋_GB2312" w:hAnsi="宋体" w:eastAsia="仿宋_GB2312"/>
          <w:color w:val="000000"/>
          <w:kern w:val="0"/>
          <w:sz w:val="52"/>
          <w:szCs w:val="52"/>
        </w:rPr>
      </w:pPr>
    </w:p>
    <w:p>
      <w:pPr>
        <w:autoSpaceDE w:val="0"/>
        <w:autoSpaceDN w:val="0"/>
        <w:adjustRightInd w:val="0"/>
        <w:jc w:val="left"/>
        <w:rPr>
          <w:rFonts w:ascii="仿宋_GB2312" w:hAnsi="宋体" w:eastAsia="仿宋_GB2312"/>
          <w:color w:val="000000"/>
          <w:kern w:val="0"/>
          <w:sz w:val="52"/>
          <w:szCs w:val="52"/>
        </w:rPr>
      </w:pPr>
    </w:p>
    <w:p>
      <w:pPr>
        <w:autoSpaceDE w:val="0"/>
        <w:autoSpaceDN w:val="0"/>
        <w:adjustRightInd w:val="0"/>
        <w:jc w:val="center"/>
        <w:rPr>
          <w:rFonts w:ascii="黑体" w:hAnsi="黑体" w:eastAsia="黑体"/>
          <w:color w:val="000000"/>
          <w:kern w:val="0"/>
          <w:sz w:val="84"/>
          <w:szCs w:val="84"/>
        </w:rPr>
      </w:pPr>
      <w:r>
        <w:rPr>
          <w:rFonts w:hint="eastAsia" w:ascii="黑体" w:hAnsi="黑体" w:eastAsia="黑体"/>
          <w:color w:val="000000"/>
          <w:kern w:val="0"/>
          <w:sz w:val="84"/>
          <w:szCs w:val="84"/>
        </w:rPr>
        <w:t>申 请 文 件</w:t>
      </w:r>
    </w:p>
    <w:p>
      <w:pPr>
        <w:autoSpaceDE w:val="0"/>
        <w:autoSpaceDN w:val="0"/>
        <w:adjustRightInd w:val="0"/>
        <w:jc w:val="center"/>
        <w:rPr>
          <w:rFonts w:ascii="仿宋_GB2312" w:hAnsi="宋体" w:eastAsia="仿宋_GB2312"/>
          <w:b/>
          <w:color w:val="000000"/>
          <w:kern w:val="0"/>
          <w:sz w:val="52"/>
          <w:szCs w:val="52"/>
        </w:rPr>
      </w:pPr>
    </w:p>
    <w:p>
      <w:pPr>
        <w:autoSpaceDE w:val="0"/>
        <w:autoSpaceDN w:val="0"/>
        <w:adjustRightInd w:val="0"/>
        <w:jc w:val="center"/>
        <w:rPr>
          <w:rFonts w:ascii="仿宋_GB2312" w:hAnsi="宋体" w:eastAsia="仿宋_GB2312"/>
          <w:color w:val="000000"/>
          <w:kern w:val="0"/>
          <w:sz w:val="52"/>
          <w:szCs w:val="52"/>
        </w:rPr>
      </w:pPr>
    </w:p>
    <w:p>
      <w:pPr>
        <w:autoSpaceDE w:val="0"/>
        <w:autoSpaceDN w:val="0"/>
        <w:adjustRightInd w:val="0"/>
        <w:ind w:firstLine="1800" w:firstLineChars="500"/>
        <w:jc w:val="left"/>
        <w:rPr>
          <w:rFonts w:ascii="仿宋_GB2312" w:hAnsi="宋体" w:eastAsia="仿宋_GB2312" w:cs="仿宋_GB2312"/>
          <w:color w:val="000000"/>
          <w:kern w:val="0"/>
          <w:sz w:val="36"/>
          <w:szCs w:val="36"/>
        </w:rPr>
      </w:pPr>
    </w:p>
    <w:p>
      <w:pPr>
        <w:autoSpaceDE w:val="0"/>
        <w:autoSpaceDN w:val="0"/>
        <w:adjustRightInd w:val="0"/>
        <w:ind w:firstLine="1800" w:firstLineChars="500"/>
        <w:jc w:val="left"/>
        <w:rPr>
          <w:rFonts w:ascii="仿宋_GB2312" w:hAnsi="宋体" w:eastAsia="仿宋_GB2312" w:cs="仿宋_GB2312"/>
          <w:color w:val="000000"/>
          <w:kern w:val="0"/>
          <w:sz w:val="36"/>
          <w:szCs w:val="36"/>
        </w:rPr>
      </w:pPr>
    </w:p>
    <w:p>
      <w:pPr>
        <w:autoSpaceDE w:val="0"/>
        <w:autoSpaceDN w:val="0"/>
        <w:adjustRightInd w:val="0"/>
        <w:ind w:firstLine="1800" w:firstLineChars="500"/>
        <w:jc w:val="left"/>
        <w:rPr>
          <w:rFonts w:ascii="仿宋_GB2312" w:hAnsi="宋体" w:eastAsia="仿宋_GB2312" w:cs="仿宋_GB2312"/>
          <w:color w:val="000000"/>
          <w:kern w:val="0"/>
          <w:sz w:val="36"/>
          <w:szCs w:val="36"/>
        </w:rPr>
      </w:pPr>
    </w:p>
    <w:p>
      <w:pPr>
        <w:autoSpaceDE w:val="0"/>
        <w:autoSpaceDN w:val="0"/>
        <w:adjustRightInd w:val="0"/>
        <w:ind w:firstLine="1800" w:firstLineChars="500"/>
        <w:jc w:val="left"/>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参选人：</w:t>
      </w:r>
      <w:r>
        <w:rPr>
          <w:rFonts w:ascii="Times New Roman" w:hAnsi="Times New Roman" w:eastAsia="黑体" w:cs="Times New Roman"/>
          <w:color w:val="000000"/>
          <w:kern w:val="0"/>
          <w:sz w:val="36"/>
          <w:szCs w:val="36"/>
          <w:u w:val="single"/>
        </w:rPr>
        <w:t xml:space="preserve"> （全称并加盖公章）</w:t>
      </w:r>
    </w:p>
    <w:p>
      <w:pPr>
        <w:autoSpaceDE w:val="0"/>
        <w:autoSpaceDN w:val="0"/>
        <w:adjustRightInd w:val="0"/>
        <w:jc w:val="left"/>
        <w:rPr>
          <w:rFonts w:ascii="Times New Roman" w:hAnsi="Times New Roman" w:eastAsia="黑体" w:cs="Times New Roman"/>
          <w:color w:val="000000"/>
          <w:kern w:val="0"/>
          <w:sz w:val="32"/>
          <w:szCs w:val="32"/>
        </w:rPr>
      </w:pPr>
    </w:p>
    <w:p>
      <w:pPr>
        <w:autoSpaceDE w:val="0"/>
        <w:autoSpaceDN w:val="0"/>
        <w:adjustRightInd w:val="0"/>
        <w:ind w:firstLine="2880" w:firstLineChars="9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202</w:t>
      </w:r>
      <w:r>
        <w:rPr>
          <w:rFonts w:hint="eastAsia" w:ascii="Times New Roman" w:hAnsi="Times New Roman" w:eastAsia="黑体" w:cs="Times New Roman"/>
          <w:color w:val="000000"/>
          <w:kern w:val="0"/>
          <w:sz w:val="32"/>
          <w:szCs w:val="32"/>
        </w:rPr>
        <w:t>1</w:t>
      </w:r>
      <w:r>
        <w:rPr>
          <w:rFonts w:ascii="Times New Roman" w:hAnsi="Times New Roman" w:eastAsia="黑体" w:cs="Times New Roman"/>
          <w:color w:val="000000"/>
          <w:kern w:val="0"/>
          <w:sz w:val="32"/>
          <w:szCs w:val="32"/>
        </w:rPr>
        <w:t>年   月    日</w:t>
      </w:r>
    </w:p>
    <w:p>
      <w:pPr>
        <w:autoSpaceDE w:val="0"/>
        <w:autoSpaceDN w:val="0"/>
        <w:adjustRightInd w:val="0"/>
        <w:ind w:firstLine="2880" w:firstLineChars="900"/>
        <w:jc w:val="left"/>
        <w:rPr>
          <w:rFonts w:ascii="方正小标宋简体" w:hAnsi="宋体" w:eastAsia="方正小标宋简体" w:cs="仿宋_GB2312"/>
          <w:color w:val="000000"/>
          <w:kern w:val="0"/>
          <w:sz w:val="32"/>
          <w:szCs w:val="32"/>
        </w:rPr>
      </w:pPr>
    </w:p>
    <w:p>
      <w:pPr>
        <w:autoSpaceDE w:val="0"/>
        <w:autoSpaceDN w:val="0"/>
        <w:adjustRightInd w:val="0"/>
        <w:ind w:firstLine="2160" w:firstLineChars="900"/>
        <w:jc w:val="left"/>
        <w:rPr>
          <w:rFonts w:ascii="仿宋_GB2312" w:hAnsi="宋体" w:eastAsia="仿宋_GB2312" w:cs="宋体"/>
          <w:color w:val="000000"/>
          <w:kern w:val="0"/>
          <w:sz w:val="24"/>
        </w:rPr>
      </w:pPr>
    </w:p>
    <w:p>
      <w:pPr>
        <w:autoSpaceDE w:val="0"/>
        <w:autoSpaceDN w:val="0"/>
        <w:adjustRightInd w:val="0"/>
        <w:rPr>
          <w:rFonts w:ascii="仿宋_GB2312" w:hAnsi="宋体" w:eastAsia="仿宋_GB2312"/>
          <w:color w:val="000000"/>
          <w:kern w:val="0"/>
          <w:sz w:val="36"/>
          <w:szCs w:val="36"/>
        </w:rPr>
      </w:pPr>
    </w:p>
    <w:p>
      <w:pPr>
        <w:autoSpaceDE w:val="0"/>
        <w:autoSpaceDN w:val="0"/>
        <w:adjustRightInd w:val="0"/>
        <w:jc w:val="left"/>
        <w:rPr>
          <w:rFonts w:ascii="仿宋_GB2312" w:hAnsi="宋体" w:eastAsia="仿宋_GB2312"/>
          <w:color w:val="000000"/>
          <w:kern w:val="0"/>
          <w:sz w:val="36"/>
          <w:szCs w:val="36"/>
        </w:rPr>
      </w:pPr>
      <w:r>
        <w:rPr>
          <w:rFonts w:hint="eastAsia" w:ascii="仿宋_GB2312" w:hAnsi="宋体" w:eastAsia="仿宋_GB2312"/>
          <w:color w:val="000000"/>
          <w:kern w:val="0"/>
          <w:sz w:val="36"/>
          <w:szCs w:val="36"/>
        </w:rPr>
        <w:t xml:space="preserve">格式2            </w:t>
      </w:r>
    </w:p>
    <w:p>
      <w:pPr>
        <w:autoSpaceDE w:val="0"/>
        <w:autoSpaceDN w:val="0"/>
        <w:adjustRightInd w:val="0"/>
        <w:jc w:val="center"/>
        <w:rPr>
          <w:rFonts w:ascii="仿宋_GB2312" w:hAnsi="宋体" w:eastAsia="仿宋_GB2312" w:cs="宋体"/>
          <w:b/>
          <w:color w:val="000000"/>
          <w:kern w:val="0"/>
          <w:sz w:val="24"/>
        </w:rPr>
      </w:pPr>
      <w:r>
        <w:rPr>
          <w:rFonts w:hint="eastAsia" w:ascii="黑体" w:hAnsi="宋体" w:eastAsia="黑体"/>
          <w:color w:val="000000"/>
          <w:kern w:val="0"/>
          <w:sz w:val="36"/>
          <w:szCs w:val="36"/>
        </w:rPr>
        <w:t>授权委托书</w:t>
      </w:r>
    </w:p>
    <w:p>
      <w:pPr>
        <w:autoSpaceDE w:val="0"/>
        <w:autoSpaceDN w:val="0"/>
        <w:adjustRightInd w:val="0"/>
        <w:snapToGrid w:val="0"/>
        <w:spacing w:line="360" w:lineRule="auto"/>
        <w:ind w:firstLine="640" w:firstLineChars="200"/>
        <w:jc w:val="left"/>
        <w:rPr>
          <w:rFonts w:ascii="仿宋_GB2312" w:hAnsi="宋体" w:eastAsia="仿宋_GB2312" w:cs="仿宋_GB2312"/>
          <w:color w:val="000000"/>
          <w:kern w:val="0"/>
          <w:sz w:val="32"/>
          <w:szCs w:val="32"/>
        </w:rPr>
      </w:pPr>
    </w:p>
    <w:p>
      <w:pPr>
        <w:autoSpaceDE w:val="0"/>
        <w:autoSpaceDN w:val="0"/>
        <w:adjustRightInd w:val="0"/>
        <w:snapToGrid w:val="0"/>
        <w:spacing w:line="360" w:lineRule="auto"/>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本授权委托书声明：我</w:t>
      </w:r>
      <w:r>
        <w:rPr>
          <w:rFonts w:hint="eastAsia" w:ascii="仿宋" w:hAnsi="仿宋" w:eastAsia="仿宋" w:cs="仿宋"/>
          <w:color w:val="000000"/>
          <w:kern w:val="0"/>
          <w:sz w:val="32"/>
          <w:szCs w:val="32"/>
          <w:u w:val="single"/>
        </w:rPr>
        <w:t>（姓名）</w:t>
      </w:r>
      <w:r>
        <w:rPr>
          <w:rFonts w:hint="eastAsia" w:ascii="仿宋" w:hAnsi="仿宋" w:eastAsia="仿宋" w:cs="仿宋"/>
          <w:color w:val="000000"/>
          <w:kern w:val="0"/>
          <w:sz w:val="32"/>
          <w:szCs w:val="32"/>
        </w:rPr>
        <w:t>系</w:t>
      </w:r>
      <w:r>
        <w:rPr>
          <w:rFonts w:hint="eastAsia" w:ascii="仿宋" w:hAnsi="仿宋" w:eastAsia="仿宋" w:cs="仿宋"/>
          <w:color w:val="000000"/>
          <w:kern w:val="0"/>
          <w:sz w:val="32"/>
          <w:szCs w:val="32"/>
          <w:u w:val="single"/>
        </w:rPr>
        <w:t>（参选人）</w:t>
      </w:r>
      <w:r>
        <w:rPr>
          <w:rFonts w:hint="eastAsia" w:ascii="仿宋" w:hAnsi="仿宋" w:eastAsia="仿宋" w:cs="仿宋"/>
          <w:color w:val="000000"/>
          <w:kern w:val="0"/>
          <w:sz w:val="32"/>
          <w:szCs w:val="32"/>
        </w:rPr>
        <w:t>的负责人，现委托</w:t>
      </w:r>
      <w:r>
        <w:rPr>
          <w:rFonts w:hint="eastAsia" w:ascii="仿宋" w:hAnsi="仿宋" w:eastAsia="仿宋" w:cs="仿宋"/>
          <w:color w:val="000000"/>
          <w:kern w:val="0"/>
          <w:sz w:val="32"/>
          <w:szCs w:val="32"/>
          <w:u w:val="single"/>
        </w:rPr>
        <w:t>（姓名）</w:t>
      </w:r>
      <w:r>
        <w:rPr>
          <w:rFonts w:hint="eastAsia" w:ascii="仿宋" w:hAnsi="仿宋" w:eastAsia="仿宋" w:cs="仿宋"/>
          <w:color w:val="000000"/>
          <w:kern w:val="0"/>
          <w:sz w:val="32"/>
          <w:szCs w:val="32"/>
        </w:rPr>
        <w:t xml:space="preserve"> 为代理人，以本公司的名义参加都江堰轨道交通有限责任公司补充医疗保险的比选活动。委托代理人在本次比选活动和委托代理合同谈判过程中所签署的一切文件和处理与之有关的一切事务，我及本公司均予以承认并承担全部法律责任。</w:t>
      </w:r>
    </w:p>
    <w:p>
      <w:pPr>
        <w:tabs>
          <w:tab w:val="right" w:pos="8306"/>
        </w:tabs>
        <w:autoSpaceDE w:val="0"/>
        <w:autoSpaceDN w:val="0"/>
        <w:adjustRightInd w:val="0"/>
        <w:snapToGrid w:val="0"/>
        <w:spacing w:line="360" w:lineRule="auto"/>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委托代理人无转委托权。特此委托。</w:t>
      </w:r>
      <w:r>
        <w:rPr>
          <w:rFonts w:hint="eastAsia" w:ascii="仿宋" w:hAnsi="仿宋" w:eastAsia="仿宋" w:cs="仿宋"/>
          <w:color w:val="000000"/>
          <w:kern w:val="0"/>
          <w:sz w:val="32"/>
          <w:szCs w:val="32"/>
        </w:rPr>
        <w:tab/>
      </w:r>
    </w:p>
    <w:p>
      <w:pPr>
        <w:autoSpaceDE w:val="0"/>
        <w:autoSpaceDN w:val="0"/>
        <w:adjustRightInd w:val="0"/>
        <w:snapToGrid w:val="0"/>
        <w:spacing w:line="360" w:lineRule="auto"/>
        <w:ind w:firstLine="4800" w:firstLineChars="1500"/>
        <w:jc w:val="left"/>
        <w:rPr>
          <w:rFonts w:ascii="仿宋" w:hAnsi="仿宋" w:eastAsia="仿宋" w:cs="仿宋"/>
          <w:color w:val="000000"/>
          <w:kern w:val="0"/>
          <w:sz w:val="32"/>
          <w:szCs w:val="32"/>
        </w:rPr>
      </w:pPr>
    </w:p>
    <w:p>
      <w:pPr>
        <w:autoSpaceDE w:val="0"/>
        <w:autoSpaceDN w:val="0"/>
        <w:adjustRightInd w:val="0"/>
        <w:snapToGrid w:val="0"/>
        <w:spacing w:line="360" w:lineRule="auto"/>
        <w:ind w:firstLine="4480" w:firstLineChars="14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参选人：</w:t>
      </w:r>
      <w:r>
        <w:rPr>
          <w:rFonts w:hint="eastAsia" w:ascii="仿宋" w:hAnsi="仿宋" w:eastAsia="仿宋" w:cs="仿宋"/>
          <w:color w:val="000000"/>
          <w:kern w:val="0"/>
          <w:sz w:val="32"/>
          <w:szCs w:val="32"/>
          <w:u w:val="single"/>
        </w:rPr>
        <w:t>（盖章）</w:t>
      </w:r>
    </w:p>
    <w:p>
      <w:pPr>
        <w:autoSpaceDE w:val="0"/>
        <w:autoSpaceDN w:val="0"/>
        <w:adjustRightInd w:val="0"/>
        <w:snapToGrid w:val="0"/>
        <w:spacing w:line="360" w:lineRule="auto"/>
        <w:jc w:val="left"/>
        <w:rPr>
          <w:rFonts w:ascii="方正仿宋简体" w:hAnsi="宋体" w:eastAsia="方正仿宋简体" w:cs="仿宋_GB2312"/>
          <w:color w:val="000000"/>
          <w:kern w:val="0"/>
          <w:sz w:val="32"/>
          <w:szCs w:val="32"/>
        </w:rPr>
      </w:pPr>
    </w:p>
    <w:p>
      <w:pPr>
        <w:autoSpaceDE w:val="0"/>
        <w:autoSpaceDN w:val="0"/>
        <w:adjustRightInd w:val="0"/>
        <w:snapToGrid w:val="0"/>
        <w:spacing w:line="360" w:lineRule="auto"/>
        <w:ind w:firstLine="4480" w:firstLineChars="14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负责人: </w:t>
      </w:r>
      <w:r>
        <w:rPr>
          <w:rFonts w:hint="eastAsia" w:ascii="仿宋" w:hAnsi="仿宋" w:eastAsia="仿宋" w:cs="仿宋"/>
          <w:color w:val="000000"/>
          <w:kern w:val="0"/>
          <w:sz w:val="32"/>
          <w:szCs w:val="32"/>
          <w:u w:val="single"/>
        </w:rPr>
        <w:t xml:space="preserve">（签字） </w:t>
      </w:r>
      <w:r>
        <w:rPr>
          <w:rFonts w:hint="eastAsia" w:ascii="仿宋" w:hAnsi="仿宋" w:eastAsia="仿宋" w:cs="仿宋"/>
          <w:color w:val="000000"/>
          <w:kern w:val="0"/>
          <w:sz w:val="32"/>
          <w:szCs w:val="32"/>
        </w:rPr>
        <w:t xml:space="preserve">  </w:t>
      </w:r>
    </w:p>
    <w:p>
      <w:pPr>
        <w:autoSpaceDE w:val="0"/>
        <w:autoSpaceDN w:val="0"/>
        <w:adjustRightInd w:val="0"/>
        <w:snapToGrid w:val="0"/>
        <w:spacing w:line="360" w:lineRule="auto"/>
        <w:ind w:firstLine="4160" w:firstLineChars="1300"/>
        <w:jc w:val="left"/>
        <w:rPr>
          <w:rFonts w:ascii="方正仿宋简体" w:hAnsi="宋体" w:eastAsia="方正仿宋简体" w:cs="仿宋_GB2312"/>
          <w:color w:val="000000"/>
          <w:kern w:val="0"/>
          <w:sz w:val="32"/>
          <w:szCs w:val="32"/>
        </w:rPr>
      </w:pPr>
    </w:p>
    <w:p>
      <w:pPr>
        <w:autoSpaceDE w:val="0"/>
        <w:autoSpaceDN w:val="0"/>
        <w:adjustRightInd w:val="0"/>
        <w:snapToGrid w:val="0"/>
        <w:spacing w:line="360" w:lineRule="auto"/>
        <w:ind w:firstLine="4480" w:firstLineChars="1400"/>
        <w:jc w:val="left"/>
        <w:rPr>
          <w:rFonts w:ascii="方正仿宋简体" w:hAnsi="宋体" w:eastAsia="方正仿宋简体" w:cs="仿宋_GB2312"/>
          <w:color w:val="000000"/>
          <w:kern w:val="0"/>
          <w:sz w:val="32"/>
          <w:szCs w:val="32"/>
          <w:u w:val="single"/>
        </w:rPr>
      </w:pPr>
      <w:r>
        <w:rPr>
          <w:rFonts w:hint="eastAsia" w:ascii="仿宋" w:hAnsi="仿宋" w:eastAsia="仿宋" w:cs="仿宋"/>
          <w:color w:val="000000"/>
          <w:kern w:val="0"/>
          <w:sz w:val="32"/>
          <w:szCs w:val="32"/>
        </w:rPr>
        <w:t>受托人：（签字）</w:t>
      </w:r>
    </w:p>
    <w:p>
      <w:pPr>
        <w:autoSpaceDE w:val="0"/>
        <w:autoSpaceDN w:val="0"/>
        <w:adjustRightInd w:val="0"/>
        <w:snapToGrid w:val="0"/>
        <w:spacing w:line="360" w:lineRule="auto"/>
        <w:jc w:val="left"/>
        <w:rPr>
          <w:rFonts w:ascii="方正仿宋简体" w:hAnsi="宋体" w:eastAsia="方正仿宋简体" w:cs="仿宋_GB2312"/>
          <w:color w:val="000000"/>
          <w:kern w:val="0"/>
          <w:sz w:val="32"/>
          <w:szCs w:val="32"/>
          <w:u w:val="single"/>
        </w:rPr>
      </w:pPr>
    </w:p>
    <w:p>
      <w:pPr>
        <w:autoSpaceDE w:val="0"/>
        <w:autoSpaceDN w:val="0"/>
        <w:adjustRightInd w:val="0"/>
        <w:snapToGrid w:val="0"/>
        <w:spacing w:line="360" w:lineRule="auto"/>
        <w:ind w:firstLine="4480" w:firstLineChars="14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日期：   年  月   日</w:t>
      </w:r>
    </w:p>
    <w:p>
      <w:pPr>
        <w:autoSpaceDE w:val="0"/>
        <w:autoSpaceDN w:val="0"/>
        <w:adjustRightInd w:val="0"/>
        <w:snapToGrid w:val="0"/>
        <w:spacing w:line="360" w:lineRule="auto"/>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注：附委托人及委托代理人身份证复印件。参选人的负责人亲自参加比选活动的，无需要提供此文件。</w:t>
      </w:r>
    </w:p>
    <w:p>
      <w:pPr>
        <w:autoSpaceDE w:val="0"/>
        <w:autoSpaceDN w:val="0"/>
        <w:adjustRightInd w:val="0"/>
        <w:rPr>
          <w:rFonts w:ascii="仿宋_GB2312" w:hAnsi="宋体" w:eastAsia="仿宋_GB2312"/>
          <w:color w:val="000000"/>
          <w:kern w:val="0"/>
          <w:sz w:val="36"/>
          <w:szCs w:val="36"/>
        </w:rPr>
      </w:pPr>
    </w:p>
    <w:p>
      <w:pPr>
        <w:autoSpaceDE w:val="0"/>
        <w:autoSpaceDN w:val="0"/>
        <w:adjustRightInd w:val="0"/>
        <w:rPr>
          <w:rFonts w:ascii="仿宋_GB2312" w:hAnsi="宋体" w:eastAsia="仿宋_GB2312"/>
          <w:b/>
          <w:color w:val="33339A"/>
          <w:kern w:val="0"/>
          <w:sz w:val="36"/>
          <w:szCs w:val="36"/>
        </w:rPr>
      </w:pPr>
      <w:r>
        <w:rPr>
          <w:rFonts w:hint="eastAsia" w:ascii="仿宋_GB2312" w:hAnsi="宋体" w:eastAsia="仿宋_GB2312"/>
          <w:color w:val="000000"/>
          <w:kern w:val="0"/>
          <w:sz w:val="36"/>
          <w:szCs w:val="36"/>
        </w:rPr>
        <w:t>格式3</w:t>
      </w:r>
    </w:p>
    <w:p>
      <w:pPr>
        <w:autoSpaceDE w:val="0"/>
        <w:autoSpaceDN w:val="0"/>
        <w:adjustRightInd w:val="0"/>
        <w:jc w:val="center"/>
        <w:rPr>
          <w:rFonts w:ascii="黑体" w:hAnsi="黑体" w:eastAsia="黑体"/>
          <w:b/>
          <w:color w:val="000000"/>
          <w:kern w:val="0"/>
          <w:sz w:val="44"/>
          <w:szCs w:val="44"/>
        </w:rPr>
      </w:pPr>
      <w:r>
        <w:rPr>
          <w:rFonts w:hint="eastAsia" w:ascii="黑体" w:hAnsi="黑体" w:eastAsia="黑体"/>
          <w:color w:val="000000"/>
          <w:kern w:val="0"/>
          <w:sz w:val="44"/>
          <w:szCs w:val="44"/>
        </w:rPr>
        <w:t>补充医疗保险服务费报价函</w:t>
      </w:r>
    </w:p>
    <w:p>
      <w:pPr>
        <w:autoSpaceDE w:val="0"/>
        <w:autoSpaceDN w:val="0"/>
        <w:adjustRightInd w:val="0"/>
        <w:spacing w:line="480" w:lineRule="auto"/>
        <w:ind w:firstLine="480" w:firstLineChars="200"/>
        <w:jc w:val="left"/>
        <w:rPr>
          <w:rFonts w:ascii="黑体" w:hAnsi="黑体" w:eastAsia="黑体"/>
          <w:color w:val="000000"/>
          <w:kern w:val="0"/>
          <w:sz w:val="24"/>
        </w:rPr>
      </w:pPr>
    </w:p>
    <w:p>
      <w:pPr>
        <w:autoSpaceDE w:val="0"/>
        <w:autoSpaceDN w:val="0"/>
        <w:adjustRightInd w:val="0"/>
        <w:spacing w:line="360" w:lineRule="auto"/>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致：都江堰轨道交通有限责任公司</w:t>
      </w:r>
    </w:p>
    <w:p>
      <w:pPr>
        <w:autoSpaceDE w:val="0"/>
        <w:autoSpaceDN w:val="0"/>
        <w:adjustRightInd w:val="0"/>
        <w:spacing w:line="360" w:lineRule="auto"/>
        <w:ind w:firstLine="640" w:firstLineChars="200"/>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本公司仔细研究了比选文件和项目的基本情况，根据本项目的实际情况，本公司为贵公司提供补充医疗保险服务费</w:t>
      </w:r>
      <w:r>
        <w:rPr>
          <w:rFonts w:hint="eastAsia" w:ascii="仿宋" w:hAnsi="仿宋" w:eastAsia="仿宋" w:cs="仿宋"/>
          <w:color w:val="000000"/>
          <w:kern w:val="0"/>
          <w:sz w:val="32"/>
          <w:szCs w:val="32"/>
          <w:lang w:eastAsia="zh-CN"/>
        </w:rPr>
        <w:t>，报价明细如下：</w:t>
      </w:r>
    </w:p>
    <w:p>
      <w:pPr>
        <w:autoSpaceDE w:val="0"/>
        <w:autoSpaceDN w:val="0"/>
        <w:adjustRightInd w:val="0"/>
        <w:spacing w:line="360" w:lineRule="auto"/>
        <w:ind w:firstLine="560" w:firstLineChars="200"/>
        <w:jc w:val="righ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28"/>
          <w:szCs w:val="28"/>
        </w:rPr>
        <w:t>货币单位：人民币/元</w:t>
      </w:r>
    </w:p>
    <w:tbl>
      <w:tblPr>
        <w:tblStyle w:val="10"/>
        <w:tblW w:w="10002" w:type="dxa"/>
        <w:jc w:val="center"/>
        <w:tblLayout w:type="fixed"/>
        <w:tblCellMar>
          <w:top w:w="0" w:type="dxa"/>
          <w:left w:w="0" w:type="dxa"/>
          <w:bottom w:w="0" w:type="dxa"/>
          <w:right w:w="0" w:type="dxa"/>
        </w:tblCellMar>
      </w:tblPr>
      <w:tblGrid>
        <w:gridCol w:w="1396"/>
        <w:gridCol w:w="1889"/>
        <w:gridCol w:w="1409"/>
        <w:gridCol w:w="1500"/>
        <w:gridCol w:w="1904"/>
        <w:gridCol w:w="1904"/>
      </w:tblGrid>
      <w:tr>
        <w:tblPrEx>
          <w:tblCellMar>
            <w:top w:w="0" w:type="dxa"/>
            <w:left w:w="0" w:type="dxa"/>
            <w:bottom w:w="0" w:type="dxa"/>
            <w:right w:w="0" w:type="dxa"/>
          </w:tblCellMar>
        </w:tblPrEx>
        <w:trPr>
          <w:trHeight w:val="592" w:hRule="exact"/>
          <w:jc w:val="center"/>
        </w:trPr>
        <w:tc>
          <w:tcPr>
            <w:tcW w:w="139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47" w:lineRule="exact"/>
              <w:ind w:left="287" w:right="-20"/>
              <w:jc w:val="center"/>
              <w:rPr>
                <w:rFonts w:ascii="仿宋" w:hAnsi="仿宋" w:eastAsia="仿宋"/>
                <w:b/>
                <w:kern w:val="0"/>
                <w:sz w:val="24"/>
                <w:szCs w:val="24"/>
              </w:rPr>
            </w:pPr>
            <w:r>
              <w:rPr>
                <w:rFonts w:hint="eastAsia" w:ascii="仿宋" w:hAnsi="仿宋" w:eastAsia="仿宋" w:cs="宋体"/>
                <w:b/>
                <w:kern w:val="0"/>
                <w:position w:val="-4"/>
                <w:sz w:val="24"/>
                <w:szCs w:val="24"/>
              </w:rPr>
              <w:t>序号</w:t>
            </w:r>
          </w:p>
        </w:tc>
        <w:tc>
          <w:tcPr>
            <w:tcW w:w="188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47" w:lineRule="exact"/>
              <w:ind w:right="-20"/>
              <w:jc w:val="center"/>
              <w:rPr>
                <w:rFonts w:ascii="仿宋" w:hAnsi="仿宋" w:eastAsia="仿宋"/>
                <w:b/>
                <w:kern w:val="0"/>
                <w:sz w:val="24"/>
                <w:szCs w:val="24"/>
              </w:rPr>
            </w:pPr>
            <w:r>
              <w:rPr>
                <w:rFonts w:hint="eastAsia" w:ascii="仿宋" w:hAnsi="仿宋" w:eastAsia="仿宋" w:cs="宋体"/>
                <w:b/>
                <w:kern w:val="0"/>
                <w:position w:val="-4"/>
                <w:sz w:val="24"/>
                <w:szCs w:val="24"/>
              </w:rPr>
              <w:t>项目名称</w:t>
            </w:r>
          </w:p>
        </w:tc>
        <w:tc>
          <w:tcPr>
            <w:tcW w:w="1409"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pacing w:line="347" w:lineRule="exact"/>
              <w:ind w:right="-20" w:firstLine="241" w:firstLineChars="100"/>
              <w:jc w:val="both"/>
              <w:rPr>
                <w:rFonts w:ascii="仿宋" w:hAnsi="仿宋" w:eastAsia="仿宋"/>
                <w:b/>
                <w:kern w:val="0"/>
                <w:sz w:val="24"/>
                <w:szCs w:val="24"/>
              </w:rPr>
            </w:pPr>
            <w:r>
              <w:rPr>
                <w:rFonts w:hint="eastAsia" w:ascii="仿宋" w:hAnsi="仿宋" w:eastAsia="仿宋" w:cs="宋体"/>
                <w:b/>
                <w:kern w:val="0"/>
                <w:position w:val="-4"/>
                <w:sz w:val="24"/>
                <w:szCs w:val="24"/>
              </w:rPr>
              <w:t>人数</w:t>
            </w:r>
            <w:r>
              <w:rPr>
                <w:rFonts w:ascii="仿宋" w:hAnsi="仿宋" w:eastAsia="仿宋" w:cs="宋体"/>
                <w:b/>
                <w:kern w:val="0"/>
                <w:position w:val="-4"/>
                <w:sz w:val="24"/>
                <w:szCs w:val="24"/>
              </w:rPr>
              <w:t>(</w:t>
            </w:r>
            <w:r>
              <w:rPr>
                <w:rFonts w:hint="eastAsia" w:ascii="仿宋" w:hAnsi="仿宋" w:eastAsia="仿宋" w:cs="宋体"/>
                <w:b/>
                <w:kern w:val="0"/>
                <w:position w:val="-4"/>
                <w:sz w:val="24"/>
                <w:szCs w:val="24"/>
              </w:rPr>
              <w:t>人</w:t>
            </w:r>
            <w:r>
              <w:rPr>
                <w:rFonts w:ascii="仿宋" w:hAnsi="仿宋" w:eastAsia="仿宋" w:cs="宋体"/>
                <w:b/>
                <w:kern w:val="0"/>
                <w:position w:val="-4"/>
                <w:sz w:val="24"/>
                <w:szCs w:val="24"/>
              </w:rPr>
              <w:t>)</w:t>
            </w:r>
          </w:p>
        </w:tc>
        <w:tc>
          <w:tcPr>
            <w:tcW w:w="1500"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pacing w:line="347" w:lineRule="exact"/>
              <w:ind w:right="-20" w:firstLine="241" w:firstLineChars="100"/>
              <w:jc w:val="both"/>
              <w:rPr>
                <w:rFonts w:ascii="仿宋" w:hAnsi="仿宋" w:eastAsia="仿宋" w:cs="宋体"/>
                <w:b/>
                <w:kern w:val="0"/>
                <w:position w:val="-4"/>
                <w:sz w:val="24"/>
                <w:szCs w:val="24"/>
              </w:rPr>
            </w:pPr>
            <w:r>
              <w:rPr>
                <w:rFonts w:hint="eastAsia" w:ascii="仿宋" w:hAnsi="仿宋" w:eastAsia="仿宋" w:cs="宋体"/>
                <w:b/>
                <w:kern w:val="0"/>
                <w:position w:val="-4"/>
                <w:sz w:val="24"/>
                <w:szCs w:val="24"/>
              </w:rPr>
              <w:t>单价（元）</w:t>
            </w:r>
          </w:p>
        </w:tc>
        <w:tc>
          <w:tcPr>
            <w:tcW w:w="1904" w:type="dxa"/>
            <w:tcBorders>
              <w:top w:val="single" w:color="000000" w:sz="4" w:space="0"/>
              <w:left w:val="single" w:color="000000" w:sz="4" w:space="0"/>
              <w:bottom w:val="single" w:color="000000" w:sz="4" w:space="0"/>
              <w:right w:val="single" w:color="000000" w:sz="4" w:space="0"/>
            </w:tcBorders>
          </w:tcPr>
          <w:p>
            <w:pPr>
              <w:autoSpaceDE/>
              <w:autoSpaceDN/>
              <w:adjustRightInd/>
              <w:spacing w:line="360" w:lineRule="auto"/>
              <w:ind w:right="0" w:firstLine="0" w:firstLineChars="0"/>
              <w:jc w:val="center"/>
              <w:rPr>
                <w:rFonts w:ascii="Calibri" w:hAnsi="Calibri" w:eastAsia="宋体"/>
                <w:b w:val="0"/>
                <w:kern w:val="2"/>
                <w:sz w:val="21"/>
                <w:szCs w:val="22"/>
              </w:rPr>
            </w:pPr>
            <w:r>
              <w:rPr>
                <w:rFonts w:hint="default" w:ascii="仿宋" w:hAnsi="仿宋" w:eastAsia="仿宋" w:cs="宋体"/>
                <w:b/>
                <w:kern w:val="0"/>
                <w:position w:val="-4"/>
                <w:sz w:val="24"/>
                <w:szCs w:val="24"/>
              </w:rPr>
              <w:t>合计（元）</w:t>
            </w:r>
          </w:p>
        </w:tc>
        <w:tc>
          <w:tcPr>
            <w:tcW w:w="1904" w:type="dxa"/>
            <w:tcBorders>
              <w:top w:val="single" w:color="000000" w:sz="4" w:space="0"/>
              <w:left w:val="single" w:color="000000" w:sz="4" w:space="0"/>
              <w:bottom w:val="single" w:color="000000" w:sz="4" w:space="0"/>
              <w:right w:val="single" w:color="000000" w:sz="4" w:space="0"/>
            </w:tcBorders>
          </w:tcPr>
          <w:p>
            <w:pPr>
              <w:autoSpaceDE/>
              <w:autoSpaceDN/>
              <w:adjustRightInd/>
              <w:spacing w:line="240" w:lineRule="auto"/>
              <w:ind w:right="0" w:firstLine="0" w:firstLineChars="0"/>
              <w:jc w:val="center"/>
              <w:rPr>
                <w:rFonts w:hint="eastAsia" w:ascii="仿宋" w:hAnsi="仿宋" w:eastAsia="仿宋" w:cs="宋体"/>
                <w:b/>
                <w:kern w:val="0"/>
                <w:position w:val="-4"/>
                <w:sz w:val="24"/>
                <w:szCs w:val="24"/>
                <w:lang w:eastAsia="zh-CN"/>
              </w:rPr>
            </w:pPr>
            <w:r>
              <w:rPr>
                <w:rFonts w:hint="default" w:ascii="仿宋" w:hAnsi="仿宋" w:eastAsia="仿宋" w:cs="宋体"/>
                <w:b/>
                <w:kern w:val="0"/>
                <w:position w:val="-4"/>
                <w:sz w:val="22"/>
                <w:szCs w:val="22"/>
              </w:rPr>
              <w:t>员工医疗基金管理费</w:t>
            </w:r>
            <w:r>
              <w:rPr>
                <w:rFonts w:hint="eastAsia" w:ascii="仿宋" w:hAnsi="仿宋" w:eastAsia="仿宋" w:cs="宋体"/>
                <w:b/>
                <w:kern w:val="0"/>
                <w:position w:val="-4"/>
                <w:sz w:val="22"/>
                <w:szCs w:val="22"/>
                <w:lang w:eastAsia="zh-CN"/>
              </w:rPr>
              <w:t>比例</w:t>
            </w:r>
          </w:p>
        </w:tc>
      </w:tr>
      <w:tr>
        <w:tblPrEx>
          <w:tblCellMar>
            <w:top w:w="0" w:type="dxa"/>
            <w:left w:w="0" w:type="dxa"/>
            <w:bottom w:w="0" w:type="dxa"/>
            <w:right w:w="0" w:type="dxa"/>
          </w:tblCellMar>
        </w:tblPrEx>
        <w:trPr>
          <w:trHeight w:val="580" w:hRule="exact"/>
          <w:jc w:val="center"/>
        </w:trPr>
        <w:tc>
          <w:tcPr>
            <w:tcW w:w="139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480" w:lineRule="auto"/>
              <w:jc w:val="center"/>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1</w:t>
            </w:r>
          </w:p>
        </w:tc>
        <w:tc>
          <w:tcPr>
            <w:tcW w:w="188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hint="eastAsia" w:ascii="仿宋" w:hAnsi="仿宋" w:eastAsia="仿宋"/>
                <w:kern w:val="0"/>
                <w:sz w:val="24"/>
                <w:szCs w:val="24"/>
              </w:rPr>
            </w:pPr>
            <w:r>
              <w:rPr>
                <w:rFonts w:hint="eastAsia" w:ascii="仿宋" w:hAnsi="仿宋" w:eastAsia="仿宋" w:cs="仿宋"/>
                <w:sz w:val="24"/>
                <w:szCs w:val="24"/>
                <w:lang w:eastAsia="zh-CN"/>
              </w:rPr>
              <w:t>员工补充医疗疗保险</w:t>
            </w:r>
          </w:p>
        </w:tc>
        <w:tc>
          <w:tcPr>
            <w:tcW w:w="1409" w:type="dxa"/>
            <w:tcBorders>
              <w:top w:val="single" w:color="000000" w:sz="4" w:space="0"/>
              <w:left w:val="single" w:color="000000" w:sz="4" w:space="0"/>
              <w:bottom w:val="single" w:color="000000" w:sz="4" w:space="0"/>
              <w:right w:val="single" w:color="auto" w:sz="4" w:space="0"/>
            </w:tcBorders>
          </w:tcPr>
          <w:p>
            <w:pPr>
              <w:autoSpaceDE w:val="0"/>
              <w:autoSpaceDN w:val="0"/>
              <w:adjustRightInd w:val="0"/>
              <w:jc w:val="center"/>
              <w:rPr>
                <w:rFonts w:ascii="仿宋" w:hAnsi="仿宋" w:eastAsia="仿宋"/>
                <w:kern w:val="0"/>
                <w:sz w:val="24"/>
                <w:szCs w:val="24"/>
              </w:rPr>
            </w:pPr>
          </w:p>
        </w:tc>
        <w:tc>
          <w:tcPr>
            <w:tcW w:w="1500" w:type="dxa"/>
            <w:tcBorders>
              <w:top w:val="single" w:color="000000" w:sz="4" w:space="0"/>
              <w:left w:val="single" w:color="auto" w:sz="4" w:space="0"/>
              <w:bottom w:val="single" w:color="000000" w:sz="4" w:space="0"/>
              <w:right w:val="single" w:color="000000" w:sz="4" w:space="0"/>
            </w:tcBorders>
          </w:tcPr>
          <w:p>
            <w:pPr>
              <w:autoSpaceDE w:val="0"/>
              <w:autoSpaceDN w:val="0"/>
              <w:adjustRightInd w:val="0"/>
              <w:jc w:val="center"/>
              <w:rPr>
                <w:rFonts w:ascii="仿宋" w:hAnsi="仿宋" w:eastAsia="仿宋"/>
                <w:kern w:val="0"/>
                <w:sz w:val="24"/>
                <w:szCs w:val="24"/>
              </w:rPr>
            </w:pPr>
          </w:p>
        </w:tc>
        <w:tc>
          <w:tcPr>
            <w:tcW w:w="190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仿宋" w:hAnsi="仿宋" w:eastAsia="仿宋"/>
                <w:kern w:val="0"/>
                <w:sz w:val="24"/>
                <w:szCs w:val="24"/>
              </w:rPr>
            </w:pPr>
          </w:p>
        </w:tc>
        <w:tc>
          <w:tcPr>
            <w:tcW w:w="1904" w:type="dxa"/>
            <w:vMerge w:val="restart"/>
            <w:tcBorders>
              <w:top w:val="single" w:color="000000" w:sz="4" w:space="0"/>
              <w:left w:val="single" w:color="000000" w:sz="4" w:space="0"/>
              <w:right w:val="single" w:color="000000" w:sz="4" w:space="0"/>
            </w:tcBorders>
          </w:tcPr>
          <w:p>
            <w:pPr>
              <w:autoSpaceDE w:val="0"/>
              <w:autoSpaceDN w:val="0"/>
              <w:adjustRightInd w:val="0"/>
              <w:jc w:val="center"/>
              <w:rPr>
                <w:rFonts w:ascii="仿宋" w:hAnsi="仿宋" w:eastAsia="仿宋"/>
                <w:kern w:val="0"/>
                <w:sz w:val="24"/>
                <w:szCs w:val="24"/>
              </w:rPr>
            </w:pPr>
          </w:p>
        </w:tc>
      </w:tr>
      <w:tr>
        <w:tblPrEx>
          <w:tblCellMar>
            <w:top w:w="0" w:type="dxa"/>
            <w:left w:w="0" w:type="dxa"/>
            <w:bottom w:w="0" w:type="dxa"/>
            <w:right w:w="0" w:type="dxa"/>
          </w:tblCellMar>
        </w:tblPrEx>
        <w:trPr>
          <w:trHeight w:val="478" w:hRule="exact"/>
          <w:jc w:val="center"/>
        </w:trPr>
        <w:tc>
          <w:tcPr>
            <w:tcW w:w="8098" w:type="dxa"/>
            <w:gridSpan w:val="5"/>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240" w:lineRule="auto"/>
              <w:ind w:left="102" w:right="-20"/>
              <w:rPr>
                <w:rFonts w:ascii="仿宋" w:hAnsi="仿宋" w:eastAsia="仿宋"/>
                <w:kern w:val="0"/>
                <w:sz w:val="24"/>
                <w:szCs w:val="24"/>
              </w:rPr>
            </w:pPr>
            <w:r>
              <w:rPr>
                <w:rFonts w:hint="eastAsia" w:ascii="仿宋" w:hAnsi="仿宋" w:eastAsia="仿宋" w:cs="仿宋"/>
                <w:kern w:val="2"/>
                <w:position w:val="0"/>
                <w:sz w:val="24"/>
                <w:szCs w:val="24"/>
              </w:rPr>
              <w:t>合计(大写)</w:t>
            </w:r>
            <w:r>
              <w:rPr>
                <w:rFonts w:hint="eastAsia" w:ascii="仿宋" w:hAnsi="仿宋" w:eastAsia="仿宋" w:cs="宋体"/>
                <w:kern w:val="0"/>
                <w:position w:val="-2"/>
                <w:sz w:val="24"/>
                <w:szCs w:val="24"/>
              </w:rPr>
              <w:t>：</w:t>
            </w:r>
          </w:p>
        </w:tc>
        <w:tc>
          <w:tcPr>
            <w:tcW w:w="1904" w:type="dxa"/>
            <w:vMerge w:val="continue"/>
            <w:tcBorders>
              <w:left w:val="single" w:color="000000" w:sz="4" w:space="0"/>
              <w:bottom w:val="single" w:color="000000" w:sz="4" w:space="0"/>
              <w:right w:val="single" w:color="000000" w:sz="4" w:space="0"/>
            </w:tcBorders>
          </w:tcPr>
          <w:p>
            <w:pPr>
              <w:autoSpaceDE w:val="0"/>
              <w:autoSpaceDN w:val="0"/>
              <w:adjustRightInd w:val="0"/>
              <w:spacing w:line="240" w:lineRule="auto"/>
              <w:ind w:left="102" w:right="-20"/>
              <w:rPr>
                <w:rFonts w:hint="eastAsia" w:ascii="仿宋" w:hAnsi="仿宋" w:eastAsia="仿宋" w:cs="仿宋"/>
                <w:kern w:val="2"/>
                <w:position w:val="0"/>
                <w:sz w:val="24"/>
                <w:szCs w:val="24"/>
              </w:rPr>
            </w:pPr>
          </w:p>
        </w:tc>
      </w:tr>
    </w:tbl>
    <w:p>
      <w:pPr>
        <w:autoSpaceDE w:val="0"/>
        <w:autoSpaceDN w:val="0"/>
        <w:adjustRightInd w:val="0"/>
        <w:spacing w:line="360" w:lineRule="auto"/>
        <w:ind w:firstLine="320" w:firstLineChars="1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u w:val="single"/>
        </w:rPr>
        <w:t>是/否</w:t>
      </w:r>
      <w:r>
        <w:rPr>
          <w:rFonts w:hint="eastAsia" w:ascii="仿宋" w:hAnsi="仿宋" w:eastAsia="仿宋" w:cs="仿宋"/>
          <w:color w:val="000000"/>
          <w:kern w:val="0"/>
          <w:sz w:val="32"/>
          <w:szCs w:val="32"/>
        </w:rPr>
        <w:t>愿意接受价格调整或支付方式调整）</w:t>
      </w:r>
    </w:p>
    <w:p>
      <w:pPr>
        <w:autoSpaceDE w:val="0"/>
        <w:autoSpaceDN w:val="0"/>
        <w:adjustRightInd w:val="0"/>
        <w:spacing w:line="240" w:lineRule="auto"/>
        <w:ind w:firstLine="480" w:firstLineChars="200"/>
        <w:rPr>
          <w:rFonts w:hint="eastAsia" w:ascii="仿宋" w:hAnsi="仿宋" w:eastAsia="仿宋" w:cs="仿宋"/>
          <w:bCs w:val="0"/>
          <w:sz w:val="24"/>
          <w:szCs w:val="24"/>
        </w:rPr>
      </w:pPr>
    </w:p>
    <w:p>
      <w:pPr>
        <w:autoSpaceDE w:val="0"/>
        <w:autoSpaceDN w:val="0"/>
        <w:adjustRightInd w:val="0"/>
        <w:spacing w:line="240" w:lineRule="auto"/>
        <w:ind w:firstLine="480" w:firstLineChars="200"/>
        <w:rPr>
          <w:rFonts w:hint="eastAsia" w:ascii="仿宋" w:hAnsi="仿宋" w:eastAsia="仿宋" w:cs="仿宋"/>
          <w:bCs w:val="0"/>
          <w:sz w:val="24"/>
          <w:szCs w:val="24"/>
        </w:rPr>
      </w:pPr>
      <w:r>
        <w:rPr>
          <w:rFonts w:hint="eastAsia" w:ascii="仿宋" w:hAnsi="仿宋" w:eastAsia="仿宋" w:cs="仿宋"/>
          <w:bCs w:val="0"/>
          <w:sz w:val="24"/>
          <w:szCs w:val="24"/>
        </w:rPr>
        <w:t>注：</w:t>
      </w:r>
    </w:p>
    <w:p>
      <w:pPr>
        <w:numPr>
          <w:ilvl w:val="-1"/>
          <w:numId w:val="0"/>
        </w:numPr>
        <w:autoSpaceDE w:val="0"/>
        <w:autoSpaceDN w:val="0"/>
        <w:adjustRightInd w:val="0"/>
        <w:spacing w:line="240" w:lineRule="auto"/>
        <w:jc w:val="center"/>
        <w:rPr>
          <w:rFonts w:hint="eastAsia" w:ascii="仿宋" w:hAnsi="仿宋" w:eastAsia="仿宋" w:cs="仿宋"/>
          <w:bCs w:val="0"/>
          <w:sz w:val="24"/>
          <w:szCs w:val="24"/>
        </w:rPr>
      </w:pPr>
      <w:r>
        <w:rPr>
          <w:rFonts w:hint="eastAsia" w:ascii="仿宋" w:hAnsi="仿宋" w:eastAsia="仿宋" w:cs="仿宋"/>
          <w:bCs w:val="0"/>
          <w:sz w:val="24"/>
          <w:szCs w:val="24"/>
          <w:lang w:val="en-US" w:eastAsia="zh-CN"/>
        </w:rPr>
        <w:t xml:space="preserve">    1.</w:t>
      </w:r>
      <w:r>
        <w:rPr>
          <w:rFonts w:hint="eastAsia" w:ascii="仿宋" w:hAnsi="仿宋" w:eastAsia="仿宋" w:cs="仿宋"/>
          <w:bCs w:val="0"/>
          <w:sz w:val="24"/>
          <w:szCs w:val="24"/>
          <w:lang w:eastAsia="zh-CN"/>
        </w:rPr>
        <w:t>比选</w:t>
      </w:r>
      <w:r>
        <w:rPr>
          <w:rFonts w:hint="eastAsia" w:ascii="仿宋" w:hAnsi="仿宋" w:eastAsia="仿宋" w:cs="仿宋"/>
          <w:bCs w:val="0"/>
          <w:sz w:val="24"/>
          <w:szCs w:val="24"/>
        </w:rPr>
        <w:t>报价为响应人全部报价（人民币），包括响应人履行本项目合同（如果成交）所必须的所有成本费用和响应人应承担的一切税费，单价为综合单价，其单价已综合考虑采购人所有所需险种，采购人所需险种详见保险险种清单。</w:t>
      </w:r>
    </w:p>
    <w:p>
      <w:pPr>
        <w:numPr>
          <w:ilvl w:val="-1"/>
          <w:numId w:val="0"/>
        </w:numPr>
        <w:autoSpaceDE w:val="0"/>
        <w:autoSpaceDN w:val="0"/>
        <w:adjustRightInd w:val="0"/>
        <w:spacing w:line="240" w:lineRule="auto"/>
        <w:ind w:firstLine="480" w:firstLineChars="200"/>
        <w:rPr>
          <w:rFonts w:hint="eastAsia" w:ascii="仿宋" w:hAnsi="仿宋" w:eastAsia="仿宋" w:cs="仿宋"/>
          <w:bCs w:val="0"/>
          <w:sz w:val="24"/>
          <w:szCs w:val="24"/>
        </w:rPr>
      </w:pPr>
      <w:r>
        <w:rPr>
          <w:rFonts w:hint="eastAsia" w:ascii="仿宋" w:hAnsi="仿宋" w:eastAsia="仿宋" w:cs="仿宋"/>
          <w:bCs w:val="0"/>
          <w:sz w:val="24"/>
          <w:szCs w:val="24"/>
          <w:lang w:val="en-US" w:eastAsia="zh-CN"/>
        </w:rPr>
        <w:t>2.</w:t>
      </w:r>
      <w:r>
        <w:rPr>
          <w:rFonts w:hint="eastAsia" w:ascii="仿宋" w:hAnsi="仿宋" w:eastAsia="仿宋" w:cs="仿宋"/>
          <w:bCs w:val="0"/>
          <w:sz w:val="24"/>
          <w:szCs w:val="24"/>
        </w:rPr>
        <w:t>本次统一按</w:t>
      </w:r>
      <w:r>
        <w:rPr>
          <w:rFonts w:hint="eastAsia" w:ascii="仿宋" w:hAnsi="仿宋" w:eastAsia="仿宋" w:cs="仿宋"/>
          <w:bCs w:val="0"/>
          <w:sz w:val="24"/>
          <w:szCs w:val="24"/>
          <w:lang w:val="en-US" w:eastAsia="zh-CN"/>
        </w:rPr>
        <w:t>47</w:t>
      </w:r>
      <w:r>
        <w:rPr>
          <w:rFonts w:hint="eastAsia" w:ascii="仿宋" w:hAnsi="仿宋" w:eastAsia="仿宋" w:cs="仿宋"/>
          <w:bCs w:val="0"/>
          <w:sz w:val="24"/>
          <w:szCs w:val="24"/>
        </w:rPr>
        <w:t>人报价，具体以合同签订时人数为准，单价不调整。</w:t>
      </w:r>
    </w:p>
    <w:p>
      <w:pPr>
        <w:numPr>
          <w:ilvl w:val="-1"/>
          <w:numId w:val="0"/>
        </w:numPr>
        <w:autoSpaceDE w:val="0"/>
        <w:autoSpaceDN w:val="0"/>
        <w:adjustRightInd w:val="0"/>
        <w:spacing w:line="240" w:lineRule="auto"/>
        <w:jc w:val="center"/>
        <w:rPr>
          <w:rFonts w:hint="eastAsia" w:ascii="仿宋" w:hAnsi="仿宋" w:eastAsia="仿宋" w:cs="仿宋"/>
          <w:bCs w:val="0"/>
          <w:sz w:val="24"/>
          <w:szCs w:val="24"/>
        </w:rPr>
      </w:pPr>
      <w:r>
        <w:rPr>
          <w:rFonts w:hint="eastAsia" w:ascii="仿宋" w:hAnsi="仿宋" w:eastAsia="仿宋" w:cs="仿宋"/>
          <w:bCs w:val="0"/>
          <w:sz w:val="24"/>
          <w:szCs w:val="24"/>
          <w:lang w:val="en-US" w:eastAsia="zh-CN"/>
        </w:rPr>
        <w:t xml:space="preserve">    3.</w:t>
      </w:r>
      <w:r>
        <w:rPr>
          <w:rFonts w:hint="eastAsia" w:ascii="仿宋" w:hAnsi="仿宋" w:eastAsia="仿宋" w:cs="仿宋"/>
          <w:bCs w:val="0"/>
          <w:sz w:val="24"/>
          <w:szCs w:val="24"/>
        </w:rPr>
        <w:t>若用小写表示的金额和用大写表示的金额不一致，以大写表示的金额为准。</w:t>
      </w:r>
    </w:p>
    <w:p>
      <w:pPr>
        <w:numPr>
          <w:ilvl w:val="-1"/>
          <w:numId w:val="0"/>
        </w:numPr>
        <w:autoSpaceDE w:val="0"/>
        <w:autoSpaceDN w:val="0"/>
        <w:adjustRightInd w:val="0"/>
        <w:spacing w:line="240" w:lineRule="auto"/>
        <w:ind w:firstLine="480" w:firstLineChars="200"/>
        <w:rPr>
          <w:rFonts w:hint="eastAsia" w:ascii="仿宋" w:hAnsi="仿宋" w:eastAsia="仿宋" w:cs="仿宋"/>
          <w:bCs w:val="0"/>
          <w:sz w:val="24"/>
          <w:szCs w:val="24"/>
        </w:rPr>
      </w:pPr>
      <w:r>
        <w:rPr>
          <w:rFonts w:hint="eastAsia" w:ascii="仿宋" w:hAnsi="仿宋" w:eastAsia="仿宋" w:cs="仿宋"/>
          <w:bCs w:val="0"/>
          <w:sz w:val="24"/>
          <w:szCs w:val="24"/>
          <w:lang w:val="en-US" w:eastAsia="zh-CN"/>
        </w:rPr>
        <w:t>4.</w:t>
      </w:r>
      <w:r>
        <w:rPr>
          <w:rFonts w:hint="eastAsia" w:ascii="仿宋" w:hAnsi="仿宋" w:eastAsia="仿宋" w:cs="仿宋"/>
          <w:bCs w:val="0"/>
          <w:sz w:val="24"/>
          <w:szCs w:val="24"/>
        </w:rPr>
        <w:t>对含糊不清或不确定的报价将视为无效价。</w:t>
      </w:r>
    </w:p>
    <w:p>
      <w:pPr>
        <w:autoSpaceDE w:val="0"/>
        <w:autoSpaceDN w:val="0"/>
        <w:adjustRightInd w:val="0"/>
        <w:spacing w:line="360" w:lineRule="auto"/>
        <w:jc w:val="left"/>
        <w:rPr>
          <w:rFonts w:ascii="方正仿宋简体" w:hAnsi="宋体" w:eastAsia="方正仿宋简体" w:cs="仿宋_GB2312"/>
          <w:color w:val="000000"/>
          <w:kern w:val="0"/>
          <w:sz w:val="32"/>
          <w:szCs w:val="32"/>
        </w:rPr>
      </w:pPr>
    </w:p>
    <w:p>
      <w:pPr>
        <w:autoSpaceDE w:val="0"/>
        <w:autoSpaceDN w:val="0"/>
        <w:adjustRightInd w:val="0"/>
        <w:spacing w:line="360" w:lineRule="auto"/>
        <w:ind w:firstLine="0" w:firstLineChars="0"/>
        <w:jc w:val="left"/>
        <w:rPr>
          <w:rFonts w:ascii="方正仿宋简体" w:hAnsi="宋体" w:eastAsia="方正仿宋简体" w:cs="仿宋_GB2312"/>
          <w:color w:val="000000"/>
          <w:kern w:val="0"/>
          <w:sz w:val="32"/>
          <w:szCs w:val="32"/>
        </w:rPr>
      </w:pPr>
    </w:p>
    <w:p>
      <w:pPr>
        <w:autoSpaceDE w:val="0"/>
        <w:autoSpaceDN w:val="0"/>
        <w:adjustRightInd w:val="0"/>
        <w:spacing w:line="360" w:lineRule="auto"/>
        <w:ind w:firstLine="4800" w:firstLineChars="15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参选人：（全称）</w:t>
      </w:r>
    </w:p>
    <w:p>
      <w:pPr>
        <w:autoSpaceDE w:val="0"/>
        <w:autoSpaceDN w:val="0"/>
        <w:adjustRightInd w:val="0"/>
        <w:spacing w:line="360" w:lineRule="auto"/>
        <w:ind w:firstLine="2560" w:firstLineChars="8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负责人或委托代理人：（  签字  ）   </w:t>
      </w:r>
    </w:p>
    <w:p>
      <w:pPr>
        <w:autoSpaceDE w:val="0"/>
        <w:autoSpaceDN w:val="0"/>
        <w:adjustRightInd w:val="0"/>
        <w:spacing w:line="360" w:lineRule="auto"/>
        <w:ind w:firstLine="640" w:firstLineChars="200"/>
        <w:jc w:val="left"/>
        <w:rPr>
          <w:rFonts w:ascii="仿宋" w:hAnsi="仿宋" w:eastAsia="仿宋" w:cs="仿宋"/>
          <w:color w:val="000000"/>
          <w:kern w:val="0"/>
          <w:sz w:val="32"/>
          <w:szCs w:val="32"/>
        </w:rPr>
      </w:pPr>
    </w:p>
    <w:p>
      <w:pPr>
        <w:autoSpaceDE w:val="0"/>
        <w:autoSpaceDN w:val="0"/>
        <w:adjustRightInd w:val="0"/>
        <w:spacing w:line="360" w:lineRule="auto"/>
        <w:ind w:firstLine="3840" w:firstLineChars="1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2021年   月    日</w:t>
      </w:r>
    </w:p>
    <w:p>
      <w:pPr>
        <w:autoSpaceDE w:val="0"/>
        <w:autoSpaceDN w:val="0"/>
        <w:adjustRightInd w:val="0"/>
        <w:spacing w:line="240" w:lineRule="auto"/>
        <w:jc w:val="left"/>
        <w:rPr>
          <w:rFonts w:ascii="仿宋_GB2312" w:hAnsi="宋体" w:eastAsia="仿宋_GB2312" w:cs="仿宋_GB2312"/>
          <w:color w:val="000000"/>
          <w:kern w:val="0"/>
          <w:sz w:val="24"/>
        </w:rPr>
      </w:pPr>
      <w:r>
        <w:rPr>
          <w:rFonts w:hint="eastAsia" w:ascii="仿宋_GB2312" w:hAnsi="宋体" w:eastAsia="仿宋_GB2312"/>
          <w:color w:val="000000"/>
          <w:kern w:val="0"/>
          <w:sz w:val="36"/>
          <w:szCs w:val="36"/>
        </w:rPr>
        <w:t>格式4</w:t>
      </w:r>
    </w:p>
    <w:p>
      <w:pPr>
        <w:autoSpaceDE w:val="0"/>
        <w:autoSpaceDN w:val="0"/>
        <w:adjustRightInd w:val="0"/>
        <w:jc w:val="left"/>
        <w:rPr>
          <w:rFonts w:ascii="仿宋_GB2312" w:hAnsi="宋体" w:eastAsia="仿宋_GB2312" w:cs="仿宋_GB2312"/>
          <w:color w:val="000000"/>
          <w:kern w:val="0"/>
          <w:sz w:val="24"/>
        </w:rPr>
      </w:pPr>
    </w:p>
    <w:tbl>
      <w:tblPr>
        <w:tblStyle w:val="10"/>
        <w:tblW w:w="83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0" w:type="dxa"/>
          <w:bottom w:w="0" w:type="dxa"/>
          <w:right w:w="0" w:type="dxa"/>
        </w:tblCellMar>
      </w:tblPr>
      <w:tblGrid>
        <w:gridCol w:w="1104"/>
        <w:gridCol w:w="1526"/>
        <w:gridCol w:w="2959"/>
        <w:gridCol w:w="1492"/>
        <w:gridCol w:w="12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94" w:hRule="atLeast"/>
        </w:trPr>
        <w:tc>
          <w:tcPr>
            <w:tcW w:w="8376" w:type="dxa"/>
            <w:gridSpan w:val="5"/>
            <w:tcBorders>
              <w:bottom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40"/>
                <w:szCs w:val="40"/>
              </w:rPr>
            </w:pPr>
            <w:r>
              <w:rPr>
                <w:rFonts w:hint="eastAsia" w:ascii="宋体" w:hAnsi="宋体" w:cs="宋体"/>
                <w:color w:val="000000"/>
                <w:kern w:val="0"/>
                <w:sz w:val="40"/>
                <w:szCs w:val="40"/>
                <w:lang w:bidi="ar"/>
              </w:rPr>
              <w:t>团体保险被保险人清单报价明细表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1" w:hRule="atLeast"/>
        </w:trPr>
        <w:tc>
          <w:tcPr>
            <w:tcW w:w="0" w:type="auto"/>
            <w:gridSpan w:val="2"/>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保险项目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保险责任简要描述</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保险金额</w:t>
            </w:r>
          </w:p>
        </w:tc>
        <w:tc>
          <w:tcPr>
            <w:tcW w:w="1067" w:type="dxa"/>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6" w:hRule="atLeast"/>
        </w:trPr>
        <w:tc>
          <w:tcPr>
            <w:tcW w:w="0" w:type="auto"/>
            <w:vMerge w:val="restart"/>
            <w:tcBorders>
              <w:top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意外保障</w:t>
            </w:r>
          </w:p>
        </w:tc>
        <w:tc>
          <w:tcPr>
            <w:tcW w:w="16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意外身故</w:t>
            </w:r>
          </w:p>
        </w:tc>
        <w:tc>
          <w:tcPr>
            <w:tcW w:w="30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22"/>
              </w:rPr>
            </w:pPr>
            <w:r>
              <w:rPr>
                <w:rFonts w:hint="eastAsia" w:ascii="宋体" w:hAnsi="宋体" w:cs="宋体"/>
                <w:color w:val="000000"/>
                <w:kern w:val="0"/>
                <w:sz w:val="22"/>
                <w:lang w:bidi="ar"/>
              </w:rPr>
              <w:t>被保险人因遭受意外伤害导致身故，赔付约定保险金额。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80万元</w:t>
            </w:r>
          </w:p>
        </w:tc>
        <w:tc>
          <w:tcPr>
            <w:tcW w:w="1067" w:type="dxa"/>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92" w:hRule="atLeast"/>
        </w:trPr>
        <w:tc>
          <w:tcPr>
            <w:tcW w:w="0" w:type="auto"/>
            <w:vMerge w:val="continue"/>
            <w:tcBorders>
              <w:top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意外残疾</w:t>
            </w:r>
          </w:p>
        </w:tc>
        <w:tc>
          <w:tcPr>
            <w:tcW w:w="30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22"/>
              </w:rPr>
            </w:pPr>
            <w:r>
              <w:rPr>
                <w:rFonts w:hint="eastAsia" w:ascii="宋体" w:hAnsi="宋体" w:cs="宋体"/>
                <w:color w:val="000000"/>
                <w:kern w:val="0"/>
                <w:sz w:val="22"/>
                <w:lang w:bidi="ar"/>
              </w:rPr>
              <w:t>被保险人因遭受意外伤害导致残疾，按残疾程度比例赔付，最高赔金额等于保险金额。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80万元</w:t>
            </w:r>
          </w:p>
        </w:tc>
        <w:tc>
          <w:tcPr>
            <w:tcW w:w="1067" w:type="dxa"/>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92" w:hRule="atLeast"/>
        </w:trPr>
        <w:tc>
          <w:tcPr>
            <w:tcW w:w="0" w:type="auto"/>
            <w:vMerge w:val="continue"/>
            <w:tcBorders>
              <w:top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意外医疗</w:t>
            </w:r>
          </w:p>
        </w:tc>
        <w:tc>
          <w:tcPr>
            <w:tcW w:w="30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22"/>
              </w:rPr>
            </w:pPr>
            <w:r>
              <w:rPr>
                <w:rFonts w:hint="eastAsia" w:ascii="宋体" w:hAnsi="宋体" w:cs="宋体"/>
                <w:color w:val="000000"/>
                <w:kern w:val="0"/>
                <w:sz w:val="22"/>
                <w:lang w:bidi="ar"/>
              </w:rPr>
              <w:t>因遭受意外事故并在医院进行治疗的，符合当地社会基本医疗保险规定的合理医疗费用，免赔额0元，按100%比例报销。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8万元</w:t>
            </w:r>
          </w:p>
        </w:tc>
        <w:tc>
          <w:tcPr>
            <w:tcW w:w="1067" w:type="dxa"/>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59" w:hRule="atLeast"/>
        </w:trPr>
        <w:tc>
          <w:tcPr>
            <w:tcW w:w="0" w:type="auto"/>
            <w:vMerge w:val="continue"/>
            <w:tcBorders>
              <w:top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航空公共交通工具</w:t>
            </w:r>
          </w:p>
        </w:tc>
        <w:tc>
          <w:tcPr>
            <w:tcW w:w="308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22"/>
              </w:rPr>
            </w:pPr>
            <w:r>
              <w:rPr>
                <w:rFonts w:hint="eastAsia" w:ascii="宋体" w:hAnsi="宋体" w:cs="宋体"/>
                <w:color w:val="000000"/>
                <w:kern w:val="0"/>
                <w:sz w:val="22"/>
                <w:lang w:bidi="ar"/>
              </w:rPr>
              <w:t>以乘客身份乘坐航空公共交通工具飞机、轨道公共交通工具轮船、水上公共交通工具轨道交通、公共汽车交通工具（含网约车）营运车辆，驾驶或乘坐II类交通工具（含私家车、租用车、单位公务及商务用车）自驾车，因交通意外事故导致的意外身故保险公司按照对应交通工具保险金额给付，因交通意外伤害事故导致伤残，按其伤残等级对应的给付比例乘以对应交通工具伤残保险金额给付意外伤残保险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100万元</w:t>
            </w:r>
          </w:p>
        </w:tc>
        <w:tc>
          <w:tcPr>
            <w:tcW w:w="1067" w:type="dxa"/>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6" w:hRule="atLeast"/>
        </w:trPr>
        <w:tc>
          <w:tcPr>
            <w:tcW w:w="0" w:type="auto"/>
            <w:vMerge w:val="continue"/>
            <w:tcBorders>
              <w:top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轨道公共交通工具</w:t>
            </w:r>
          </w:p>
        </w:tc>
        <w:tc>
          <w:tcPr>
            <w:tcW w:w="308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60万元</w:t>
            </w:r>
          </w:p>
        </w:tc>
        <w:tc>
          <w:tcPr>
            <w:tcW w:w="1067" w:type="dxa"/>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6" w:hRule="atLeast"/>
        </w:trPr>
        <w:tc>
          <w:tcPr>
            <w:tcW w:w="0" w:type="auto"/>
            <w:vMerge w:val="continue"/>
            <w:tcBorders>
              <w:top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水上公共交通工具</w:t>
            </w:r>
          </w:p>
        </w:tc>
        <w:tc>
          <w:tcPr>
            <w:tcW w:w="308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60万元</w:t>
            </w:r>
          </w:p>
        </w:tc>
        <w:tc>
          <w:tcPr>
            <w:tcW w:w="1067" w:type="dxa"/>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6" w:hRule="atLeast"/>
        </w:trPr>
        <w:tc>
          <w:tcPr>
            <w:tcW w:w="0" w:type="auto"/>
            <w:vMerge w:val="continue"/>
            <w:tcBorders>
              <w:top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公共汽车交通工具</w:t>
            </w:r>
          </w:p>
        </w:tc>
        <w:tc>
          <w:tcPr>
            <w:tcW w:w="308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60万元</w:t>
            </w:r>
          </w:p>
        </w:tc>
        <w:tc>
          <w:tcPr>
            <w:tcW w:w="1067" w:type="dxa"/>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92" w:hRule="atLeast"/>
        </w:trPr>
        <w:tc>
          <w:tcPr>
            <w:tcW w:w="0" w:type="auto"/>
            <w:vMerge w:val="continue"/>
            <w:tcBorders>
              <w:top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II类交通工具</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（含私家车、租用车、单位公务及商务用车）</w:t>
            </w:r>
          </w:p>
        </w:tc>
        <w:tc>
          <w:tcPr>
            <w:tcW w:w="308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60万元</w:t>
            </w:r>
          </w:p>
        </w:tc>
        <w:tc>
          <w:tcPr>
            <w:tcW w:w="1067" w:type="dxa"/>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6" w:hRule="atLeast"/>
        </w:trPr>
        <w:tc>
          <w:tcPr>
            <w:tcW w:w="0" w:type="auto"/>
            <w:vMerge w:val="restart"/>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疾病保障</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疾病身故</w:t>
            </w:r>
          </w:p>
        </w:tc>
        <w:tc>
          <w:tcPr>
            <w:tcW w:w="30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22"/>
              </w:rPr>
            </w:pPr>
            <w:r>
              <w:rPr>
                <w:rFonts w:hint="eastAsia" w:ascii="宋体" w:hAnsi="宋体" w:cs="宋体"/>
                <w:color w:val="000000"/>
                <w:kern w:val="0"/>
                <w:sz w:val="22"/>
                <w:lang w:bidi="ar"/>
              </w:rPr>
              <w:t>被保险人因疾病导致身故，赔付约定保险金额。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50万元</w:t>
            </w:r>
          </w:p>
        </w:tc>
        <w:tc>
          <w:tcPr>
            <w:tcW w:w="1067" w:type="dxa"/>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92" w:hRule="atLeast"/>
        </w:trPr>
        <w:tc>
          <w:tcPr>
            <w:tcW w:w="0" w:type="auto"/>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住院医疗</w:t>
            </w:r>
          </w:p>
        </w:tc>
        <w:tc>
          <w:tcPr>
            <w:tcW w:w="30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22"/>
              </w:rPr>
            </w:pPr>
            <w:r>
              <w:rPr>
                <w:rFonts w:hint="eastAsia" w:ascii="宋体" w:hAnsi="宋体" w:cs="宋体"/>
                <w:color w:val="000000"/>
                <w:kern w:val="0"/>
                <w:sz w:val="22"/>
                <w:lang w:bidi="ar"/>
              </w:rPr>
              <w:t>因意外或疾病住院发生的合理医疗费用经社保报销后，剩余部分免赔额0元，报销比例100%。包含乙类自部分。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30万元</w:t>
            </w:r>
          </w:p>
        </w:tc>
        <w:tc>
          <w:tcPr>
            <w:tcW w:w="1067" w:type="dxa"/>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92" w:hRule="atLeast"/>
        </w:trPr>
        <w:tc>
          <w:tcPr>
            <w:tcW w:w="0" w:type="auto"/>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门诊医疗</w:t>
            </w:r>
          </w:p>
        </w:tc>
        <w:tc>
          <w:tcPr>
            <w:tcW w:w="30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22"/>
              </w:rPr>
            </w:pPr>
            <w:r>
              <w:rPr>
                <w:rFonts w:hint="eastAsia" w:ascii="宋体" w:hAnsi="宋体" w:cs="宋体"/>
                <w:color w:val="000000"/>
                <w:kern w:val="0"/>
                <w:sz w:val="22"/>
                <w:lang w:bidi="ar"/>
              </w:rPr>
              <w:t>因意外或疾病门诊发生的合理医疗费用，单次免赔额0元，按100%比例报销。包含乙类自费部分。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1万元</w:t>
            </w:r>
          </w:p>
        </w:tc>
        <w:tc>
          <w:tcPr>
            <w:tcW w:w="1067" w:type="dxa"/>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92" w:hRule="atLeast"/>
        </w:trPr>
        <w:tc>
          <w:tcPr>
            <w:tcW w:w="0" w:type="auto"/>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住院津贴</w:t>
            </w:r>
          </w:p>
        </w:tc>
        <w:tc>
          <w:tcPr>
            <w:tcW w:w="30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22"/>
              </w:rPr>
            </w:pPr>
            <w:r>
              <w:rPr>
                <w:rFonts w:hint="eastAsia" w:ascii="宋体" w:hAnsi="宋体" w:cs="宋体"/>
                <w:color w:val="000000"/>
                <w:kern w:val="0"/>
                <w:sz w:val="22"/>
                <w:lang w:bidi="ar"/>
              </w:rPr>
              <w:t>住院津贴保险金：因疾病或意外住院治疗的，按实际住院天数减去0天免赔，单次限90天，全年限180天。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400元/天</w:t>
            </w:r>
          </w:p>
        </w:tc>
        <w:tc>
          <w:tcPr>
            <w:tcW w:w="1067" w:type="dxa"/>
            <w:vMerge w:val="restart"/>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92" w:hRule="atLeast"/>
        </w:trPr>
        <w:tc>
          <w:tcPr>
            <w:tcW w:w="0" w:type="auto"/>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30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22"/>
              </w:rPr>
            </w:pPr>
            <w:r>
              <w:rPr>
                <w:rFonts w:hint="eastAsia" w:ascii="宋体" w:hAnsi="宋体" w:cs="宋体"/>
                <w:color w:val="000000"/>
                <w:kern w:val="0"/>
                <w:sz w:val="22"/>
                <w:lang w:bidi="ar"/>
              </w:rPr>
              <w:t>住院重症监护病房补贴保险金：在重症监护病房住院，双倍赔付，每人每年累计以30天为限。</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2"/>
              </w:rPr>
            </w:pPr>
          </w:p>
        </w:tc>
        <w:tc>
          <w:tcPr>
            <w:tcW w:w="1067" w:type="dxa"/>
            <w:vMerge w:val="continue"/>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75" w:hRule="atLeast"/>
        </w:trPr>
        <w:tc>
          <w:tcPr>
            <w:tcW w:w="0" w:type="auto"/>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重大疾病</w:t>
            </w:r>
          </w:p>
        </w:tc>
        <w:tc>
          <w:tcPr>
            <w:tcW w:w="3087"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22"/>
              </w:rPr>
            </w:pPr>
            <w:r>
              <w:rPr>
                <w:rFonts w:hint="eastAsia" w:ascii="宋体" w:hAnsi="宋体" w:cs="宋体"/>
                <w:color w:val="000000"/>
                <w:kern w:val="0"/>
                <w:sz w:val="22"/>
                <w:lang w:bidi="ar"/>
              </w:rPr>
              <w:t>被保险人在观察期后，初次确诊罹患33种重大疾病，一次性给付重疾保险金。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30万元</w:t>
            </w:r>
          </w:p>
        </w:tc>
        <w:tc>
          <w:tcPr>
            <w:tcW w:w="1067" w:type="dxa"/>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69" w:hRule="atLeast"/>
        </w:trPr>
        <w:tc>
          <w:tcPr>
            <w:tcW w:w="0" w:type="auto"/>
            <w:tcBorders>
              <w:top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r>
              <w:rPr>
                <w:rFonts w:hint="eastAsia" w:ascii="宋体" w:hAnsi="宋体" w:cs="宋体"/>
                <w:color w:val="000000"/>
                <w:sz w:val="22"/>
              </w:rPr>
              <w:t>医疗基金</w:t>
            </w:r>
          </w:p>
        </w:tc>
        <w:tc>
          <w:tcPr>
            <w:tcW w:w="1606" w:type="dxa"/>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lang w:bidi="ar"/>
              </w:rPr>
            </w:pPr>
            <w:r>
              <w:rPr>
                <w:rFonts w:hint="eastAsia"/>
              </w:rPr>
              <w:t>员工医疗基金管理费报价</w:t>
            </w:r>
          </w:p>
        </w:tc>
        <w:tc>
          <w:tcPr>
            <w:tcW w:w="3087"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textAlignment w:val="center"/>
              <w:rPr>
                <w:rFonts w:ascii="宋体" w:hAnsi="宋体" w:cs="宋体"/>
                <w:color w:val="000000"/>
                <w:kern w:val="0"/>
                <w:sz w:val="22"/>
                <w:lang w:bidi="ar"/>
              </w:rPr>
            </w:pPr>
          </w:p>
        </w:tc>
        <w:tc>
          <w:tcPr>
            <w:tcW w:w="0" w:type="auto"/>
            <w:tcBorders>
              <w:top w:val="single" w:color="000000" w:sz="4" w:space="0"/>
              <w:left w:val="single" w:color="auto"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2"/>
                <w:lang w:bidi="ar"/>
              </w:rPr>
            </w:pPr>
          </w:p>
        </w:tc>
        <w:tc>
          <w:tcPr>
            <w:tcW w:w="1067" w:type="dxa"/>
            <w:tcBorders>
              <w:top w:val="single" w:color="000000" w:sz="4" w:space="0"/>
              <w:left w:val="single" w:color="000000" w:sz="4" w:space="0"/>
            </w:tcBorders>
            <w:shd w:val="clear" w:color="auto" w:fill="auto"/>
            <w:noWrap/>
            <w:tcMar>
              <w:top w:w="15" w:type="dxa"/>
              <w:left w:w="15" w:type="dxa"/>
              <w:right w:w="15" w:type="dxa"/>
            </w:tcMar>
            <w:vAlign w:val="center"/>
          </w:tcPr>
          <w:p>
            <w:pPr>
              <w:rPr>
                <w:rFonts w:ascii="宋体" w:hAnsi="宋体" w:cs="宋体"/>
                <w:color w:val="000000"/>
                <w:sz w:val="22"/>
              </w:rPr>
            </w:pPr>
          </w:p>
        </w:tc>
      </w:tr>
    </w:tbl>
    <w:p>
      <w:pPr>
        <w:widowControl/>
        <w:textAlignment w:val="center"/>
        <w:rPr>
          <w:rFonts w:ascii="Times New Roman" w:hAnsi="Times New Roman" w:cs="Times New Roman"/>
          <w:sz w:val="28"/>
          <w:szCs w:val="32"/>
        </w:rPr>
      </w:pPr>
      <w:r>
        <w:rPr>
          <w:rFonts w:ascii="Times New Roman" w:hAnsi="Times New Roman" w:cs="Times New Roman"/>
          <w:sz w:val="28"/>
          <w:szCs w:val="32"/>
        </w:rPr>
        <w:t>备注：</w:t>
      </w:r>
      <w:r>
        <w:rPr>
          <w:rFonts w:hint="eastAsia" w:ascii="Times New Roman" w:hAnsi="Times New Roman" w:cs="Times New Roman"/>
          <w:sz w:val="28"/>
          <w:szCs w:val="32"/>
        </w:rPr>
        <w:t>响应人可根据实际需求，在总保费不变及取得采购人同意的情况下，对保额进行分类调整，可以提高保险险种对应的保险金额和责任范围，或提供功能、服务更优的类似保险服务产品，但不得低于采购人的基本要求</w:t>
      </w:r>
      <w:r>
        <w:rPr>
          <w:rFonts w:ascii="Times New Roman" w:hAnsi="Times New Roman" w:cs="Times New Roman"/>
          <w:sz w:val="28"/>
          <w:szCs w:val="32"/>
        </w:rPr>
        <w:t>，员工团体福利保险不得超过限价2000元/人·年，</w:t>
      </w:r>
      <w:r>
        <w:rPr>
          <w:rFonts w:hint="eastAsia" w:ascii="Times New Roman" w:hAnsi="Times New Roman" w:cs="Times New Roman"/>
          <w:sz w:val="28"/>
          <w:szCs w:val="32"/>
        </w:rPr>
        <w:t>员工医疗基金管理费</w:t>
      </w:r>
      <w:r>
        <w:rPr>
          <w:rFonts w:hint="eastAsia" w:ascii="Times New Roman" w:hAnsi="Times New Roman" w:cs="Times New Roman"/>
          <w:sz w:val="28"/>
          <w:szCs w:val="32"/>
          <w:lang w:eastAsia="zh-CN"/>
        </w:rPr>
        <w:t>比例不得超过</w:t>
      </w:r>
      <w:r>
        <w:rPr>
          <w:rFonts w:hint="eastAsia" w:ascii="Times New Roman" w:hAnsi="Times New Roman" w:cs="Times New Roman"/>
          <w:sz w:val="28"/>
          <w:szCs w:val="32"/>
          <w:lang w:val="en-US" w:eastAsia="zh-CN"/>
        </w:rPr>
        <w:t>2.5%，</w:t>
      </w:r>
      <w:r>
        <w:rPr>
          <w:rFonts w:hint="eastAsia" w:ascii="Times New Roman" w:hAnsi="Times New Roman" w:cs="Times New Roman"/>
          <w:sz w:val="28"/>
          <w:szCs w:val="32"/>
          <w:lang w:eastAsia="zh-CN"/>
        </w:rPr>
        <w:t>管理费报价不得超过限价</w:t>
      </w:r>
      <w:r>
        <w:rPr>
          <w:rFonts w:hint="eastAsia" w:ascii="Times New Roman" w:hAnsi="Times New Roman" w:cs="Times New Roman"/>
          <w:sz w:val="28"/>
          <w:szCs w:val="32"/>
          <w:lang w:val="en-US" w:eastAsia="zh-CN"/>
        </w:rPr>
        <w:t>11541.72元/年，</w:t>
      </w:r>
      <w:r>
        <w:rPr>
          <w:rFonts w:ascii="Times New Roman" w:hAnsi="Times New Roman" w:cs="Times New Roman"/>
          <w:sz w:val="28"/>
          <w:szCs w:val="32"/>
        </w:rPr>
        <w:t>如未按要求报价，为无效报价。</w:t>
      </w:r>
    </w:p>
    <w:p>
      <w:pPr>
        <w:autoSpaceDE w:val="0"/>
        <w:autoSpaceDN w:val="0"/>
        <w:adjustRightInd w:val="0"/>
        <w:spacing w:line="480" w:lineRule="auto"/>
        <w:jc w:val="left"/>
        <w:rPr>
          <w:rFonts w:ascii="仿宋_GB2312" w:hAnsi="宋体" w:eastAsia="仿宋_GB2312"/>
          <w:color w:val="000000"/>
          <w:kern w:val="0"/>
          <w:sz w:val="36"/>
          <w:szCs w:val="36"/>
        </w:rPr>
      </w:pPr>
    </w:p>
    <w:p>
      <w:pPr>
        <w:autoSpaceDE w:val="0"/>
        <w:autoSpaceDN w:val="0"/>
        <w:adjustRightInd w:val="0"/>
        <w:spacing w:line="480" w:lineRule="auto"/>
        <w:jc w:val="left"/>
        <w:rPr>
          <w:rFonts w:ascii="仿宋_GB2312" w:hAnsi="宋体" w:eastAsia="仿宋_GB2312"/>
          <w:color w:val="000000"/>
          <w:kern w:val="0"/>
          <w:sz w:val="36"/>
          <w:szCs w:val="36"/>
        </w:rPr>
      </w:pPr>
    </w:p>
    <w:p>
      <w:pPr>
        <w:autoSpaceDE w:val="0"/>
        <w:autoSpaceDN w:val="0"/>
        <w:adjustRightInd w:val="0"/>
        <w:spacing w:line="480" w:lineRule="auto"/>
        <w:jc w:val="left"/>
        <w:rPr>
          <w:rFonts w:ascii="仿宋_GB2312" w:hAnsi="宋体" w:eastAsia="仿宋_GB2312"/>
          <w:color w:val="000000"/>
          <w:kern w:val="0"/>
          <w:sz w:val="36"/>
          <w:szCs w:val="36"/>
        </w:rPr>
      </w:pPr>
    </w:p>
    <w:p>
      <w:pPr>
        <w:autoSpaceDE w:val="0"/>
        <w:autoSpaceDN w:val="0"/>
        <w:adjustRightInd w:val="0"/>
        <w:spacing w:line="480" w:lineRule="auto"/>
        <w:jc w:val="left"/>
        <w:rPr>
          <w:rFonts w:ascii="仿宋_GB2312" w:hAnsi="宋体" w:eastAsia="仿宋_GB2312"/>
          <w:color w:val="000000"/>
          <w:kern w:val="0"/>
          <w:sz w:val="36"/>
          <w:szCs w:val="36"/>
        </w:rPr>
      </w:pPr>
    </w:p>
    <w:p>
      <w:pPr>
        <w:autoSpaceDE w:val="0"/>
        <w:autoSpaceDN w:val="0"/>
        <w:adjustRightInd w:val="0"/>
        <w:spacing w:line="480" w:lineRule="auto"/>
        <w:jc w:val="left"/>
        <w:rPr>
          <w:rFonts w:ascii="仿宋_GB2312" w:hAnsi="宋体" w:eastAsia="仿宋_GB2312"/>
          <w:color w:val="000000"/>
          <w:kern w:val="0"/>
          <w:sz w:val="36"/>
          <w:szCs w:val="36"/>
        </w:rPr>
      </w:pPr>
    </w:p>
    <w:p>
      <w:pPr>
        <w:autoSpaceDE w:val="0"/>
        <w:autoSpaceDN w:val="0"/>
        <w:adjustRightInd w:val="0"/>
        <w:spacing w:line="480" w:lineRule="auto"/>
        <w:jc w:val="left"/>
        <w:rPr>
          <w:rFonts w:ascii="仿宋_GB2312" w:hAnsi="宋体" w:eastAsia="仿宋_GB2312"/>
          <w:color w:val="000000"/>
          <w:kern w:val="0"/>
          <w:sz w:val="36"/>
          <w:szCs w:val="36"/>
        </w:rPr>
      </w:pPr>
    </w:p>
    <w:p>
      <w:pPr>
        <w:autoSpaceDE w:val="0"/>
        <w:autoSpaceDN w:val="0"/>
        <w:adjustRightInd w:val="0"/>
        <w:spacing w:line="480" w:lineRule="auto"/>
        <w:jc w:val="left"/>
        <w:rPr>
          <w:rFonts w:ascii="仿宋_GB2312" w:hAnsi="宋体" w:eastAsia="仿宋_GB2312"/>
          <w:color w:val="000000"/>
          <w:kern w:val="0"/>
          <w:sz w:val="36"/>
          <w:szCs w:val="36"/>
        </w:rPr>
      </w:pPr>
    </w:p>
    <w:p>
      <w:pPr>
        <w:autoSpaceDE w:val="0"/>
        <w:autoSpaceDN w:val="0"/>
        <w:adjustRightInd w:val="0"/>
        <w:spacing w:line="480" w:lineRule="auto"/>
        <w:jc w:val="left"/>
        <w:rPr>
          <w:rFonts w:ascii="仿宋_GB2312" w:hAnsi="宋体" w:eastAsia="仿宋_GB2312"/>
          <w:color w:val="000000"/>
          <w:kern w:val="0"/>
          <w:sz w:val="36"/>
          <w:szCs w:val="36"/>
        </w:rPr>
      </w:pPr>
    </w:p>
    <w:p>
      <w:pPr>
        <w:autoSpaceDE w:val="0"/>
        <w:autoSpaceDN w:val="0"/>
        <w:adjustRightInd w:val="0"/>
        <w:spacing w:line="480" w:lineRule="auto"/>
        <w:jc w:val="left"/>
        <w:rPr>
          <w:rFonts w:ascii="仿宋_GB2312" w:hAnsi="宋体" w:eastAsia="仿宋_GB2312"/>
          <w:color w:val="000000"/>
          <w:kern w:val="0"/>
          <w:sz w:val="36"/>
          <w:szCs w:val="36"/>
        </w:rPr>
      </w:pPr>
    </w:p>
    <w:p>
      <w:pPr>
        <w:autoSpaceDE w:val="0"/>
        <w:autoSpaceDN w:val="0"/>
        <w:adjustRightInd w:val="0"/>
        <w:spacing w:line="480" w:lineRule="auto"/>
        <w:jc w:val="left"/>
        <w:rPr>
          <w:rFonts w:ascii="仿宋_GB2312" w:hAnsi="宋体" w:eastAsia="仿宋_GB2312"/>
          <w:color w:val="000000"/>
          <w:kern w:val="0"/>
          <w:sz w:val="36"/>
          <w:szCs w:val="36"/>
        </w:rPr>
      </w:pPr>
      <w:r>
        <w:rPr>
          <w:rFonts w:hint="eastAsia" w:ascii="仿宋_GB2312" w:hAnsi="宋体" w:eastAsia="仿宋_GB2312"/>
          <w:color w:val="000000"/>
          <w:kern w:val="0"/>
          <w:sz w:val="36"/>
          <w:szCs w:val="36"/>
        </w:rPr>
        <w:t>格式5</w:t>
      </w:r>
    </w:p>
    <w:p>
      <w:pPr>
        <w:autoSpaceDE w:val="0"/>
        <w:autoSpaceDN w:val="0"/>
        <w:adjustRightInd w:val="0"/>
        <w:spacing w:line="480" w:lineRule="auto"/>
        <w:jc w:val="center"/>
        <w:rPr>
          <w:rFonts w:ascii="黑体" w:hAnsi="宋体" w:eastAsia="黑体"/>
          <w:color w:val="000000"/>
          <w:kern w:val="0"/>
          <w:sz w:val="44"/>
          <w:szCs w:val="44"/>
        </w:rPr>
      </w:pPr>
      <w:r>
        <w:rPr>
          <w:rFonts w:hint="eastAsia" w:ascii="黑体" w:hAnsi="宋体" w:eastAsia="黑体"/>
          <w:color w:val="000000"/>
          <w:kern w:val="0"/>
          <w:sz w:val="44"/>
          <w:szCs w:val="44"/>
        </w:rPr>
        <w:t>申 请 书</w:t>
      </w:r>
    </w:p>
    <w:p>
      <w:pPr>
        <w:autoSpaceDE w:val="0"/>
        <w:autoSpaceDN w:val="0"/>
        <w:spacing w:line="360" w:lineRule="auto"/>
        <w:jc w:val="left"/>
        <w:rPr>
          <w:rFonts w:ascii="仿宋_GB2312" w:hAnsi="宋体" w:eastAsia="仿宋_GB2312" w:cs="仿宋_GB2312"/>
          <w:color w:val="000000"/>
          <w:kern w:val="0"/>
          <w:sz w:val="28"/>
          <w:szCs w:val="28"/>
        </w:rPr>
      </w:pPr>
    </w:p>
    <w:p>
      <w:pPr>
        <w:autoSpaceDE w:val="0"/>
        <w:autoSpaceDN w:val="0"/>
        <w:spacing w:line="360" w:lineRule="auto"/>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致：都江堰轨道交通有限责任公司</w:t>
      </w:r>
    </w:p>
    <w:p>
      <w:pPr>
        <w:autoSpaceDE w:val="0"/>
        <w:autoSpaceDN w:val="0"/>
        <w:spacing w:line="360" w:lineRule="auto"/>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w:t>
      </w:r>
      <w:r>
        <w:rPr>
          <w:rFonts w:hint="eastAsia" w:ascii="仿宋" w:hAnsi="仿宋" w:eastAsia="仿宋" w:cs="仿宋"/>
          <w:color w:val="000000"/>
          <w:sz w:val="32"/>
          <w:szCs w:val="32"/>
        </w:rPr>
        <w:t>本公司在认真研究了</w:t>
      </w:r>
      <w:r>
        <w:rPr>
          <w:rFonts w:hint="eastAsia" w:ascii="仿宋" w:hAnsi="仿宋" w:eastAsia="仿宋" w:cs="仿宋"/>
          <w:color w:val="000000"/>
          <w:kern w:val="0"/>
          <w:sz w:val="32"/>
          <w:szCs w:val="32"/>
        </w:rPr>
        <w:t>都江堰轨道交通有限责任</w:t>
      </w:r>
      <w:r>
        <w:rPr>
          <w:rFonts w:hint="eastAsia" w:ascii="仿宋" w:hAnsi="仿宋" w:eastAsia="仿宋" w:cs="仿宋"/>
          <w:color w:val="000000"/>
          <w:sz w:val="32"/>
          <w:szCs w:val="32"/>
        </w:rPr>
        <w:t>公司补充医疗保险比选文件后，愿意按比选文件要求承担贵公司补充医疗保险工作，决定参加本次比选。</w:t>
      </w:r>
      <w:r>
        <w:rPr>
          <w:rFonts w:hint="eastAsia" w:ascii="仿宋" w:hAnsi="仿宋" w:eastAsia="仿宋" w:cs="仿宋"/>
          <w:color w:val="000000"/>
          <w:kern w:val="0"/>
          <w:sz w:val="32"/>
          <w:szCs w:val="32"/>
        </w:rPr>
        <w:t>现正式向贵公司提出参选。</w:t>
      </w:r>
    </w:p>
    <w:p>
      <w:pPr>
        <w:autoSpaceDE w:val="0"/>
        <w:autoSpaceDN w:val="0"/>
        <w:spacing w:line="360" w:lineRule="auto"/>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二、本公司保证参选文件系真实和合法的。贵方或授权代表可对本公司进行查询或调查，以证实参选文件有关声明、文件和资料的真实性。</w:t>
      </w:r>
    </w:p>
    <w:p>
      <w:pPr>
        <w:autoSpaceDE w:val="0"/>
        <w:autoSpaceDN w:val="0"/>
        <w:spacing w:line="360" w:lineRule="auto"/>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三、本公司完全理解本次比选并非最低价中选，并知晓比选人有权取消比选以及拒绝所有比选参选文件，且无需对此类行为承担任何责任或作出解释。</w:t>
      </w:r>
    </w:p>
    <w:p>
      <w:pPr>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四、本参选文件的有效期自本参选文件递交之日起至贵方关于本次补充医疗保险比选的中选通知书发出之日止。在此期限届满之前，本参选文件始终对我方具有约束力，我方将严格遵守参选文件的各项承诺，随时接受中选。</w:t>
      </w:r>
    </w:p>
    <w:p>
      <w:pPr>
        <w:autoSpaceDE w:val="0"/>
        <w:autoSpaceDN w:val="0"/>
        <w:adjustRightInd w:val="0"/>
        <w:spacing w:before="100" w:beforeAutospacing="1" w:after="100" w:afterAutospacing="1" w:line="480" w:lineRule="auto"/>
        <w:ind w:firstLine="960" w:firstLineChars="3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参选人：</w:t>
      </w:r>
    </w:p>
    <w:p>
      <w:pPr>
        <w:autoSpaceDE w:val="0"/>
        <w:autoSpaceDN w:val="0"/>
        <w:adjustRightInd w:val="0"/>
        <w:spacing w:before="100" w:beforeAutospacing="1" w:after="100" w:afterAutospacing="1" w:line="480" w:lineRule="auto"/>
        <w:ind w:firstLine="3360" w:firstLineChars="1050"/>
        <w:jc w:val="left"/>
        <w:rPr>
          <w:rFonts w:ascii="仿宋" w:hAnsi="仿宋" w:eastAsia="仿宋" w:cs="仿宋"/>
          <w:color w:val="000000"/>
          <w:kern w:val="0"/>
          <w:sz w:val="32"/>
          <w:szCs w:val="32"/>
          <w:u w:val="single"/>
        </w:rPr>
      </w:pPr>
      <w:r>
        <w:rPr>
          <w:rFonts w:hint="eastAsia" w:ascii="仿宋" w:hAnsi="仿宋" w:eastAsia="仿宋" w:cs="仿宋"/>
          <w:color w:val="000000"/>
          <w:kern w:val="0"/>
          <w:sz w:val="32"/>
          <w:szCs w:val="32"/>
        </w:rPr>
        <w:t>负责人或委托代理人：</w:t>
      </w:r>
      <w:r>
        <w:rPr>
          <w:rFonts w:hint="eastAsia" w:ascii="仿宋" w:hAnsi="仿宋" w:eastAsia="仿宋" w:cs="仿宋"/>
          <w:color w:val="000000"/>
          <w:kern w:val="0"/>
          <w:sz w:val="32"/>
          <w:szCs w:val="32"/>
          <w:u w:val="single"/>
        </w:rPr>
        <w:t xml:space="preserve"> （签字）</w:t>
      </w:r>
    </w:p>
    <w:p>
      <w:pPr>
        <w:autoSpaceDE w:val="0"/>
        <w:autoSpaceDN w:val="0"/>
        <w:adjustRightInd w:val="0"/>
        <w:spacing w:before="100" w:beforeAutospacing="1" w:after="100" w:afterAutospacing="1" w:line="480" w:lineRule="auto"/>
        <w:ind w:firstLine="4160" w:firstLineChars="13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2021年   月   日</w:t>
      </w:r>
    </w:p>
    <w:p>
      <w:pPr>
        <w:autoSpaceDE w:val="0"/>
        <w:autoSpaceDN w:val="0"/>
        <w:adjustRightInd w:val="0"/>
        <w:spacing w:line="360" w:lineRule="auto"/>
        <w:rPr>
          <w:rFonts w:ascii="黑体" w:hAnsi="宋体" w:eastAsia="黑体"/>
          <w:color w:val="000000"/>
          <w:kern w:val="0"/>
          <w:sz w:val="36"/>
          <w:szCs w:val="36"/>
        </w:rPr>
      </w:pPr>
      <w:r>
        <w:rPr>
          <w:rFonts w:hint="eastAsia" w:ascii="仿宋_GB2312" w:hAnsi="宋体" w:eastAsia="仿宋_GB2312"/>
          <w:color w:val="000000"/>
          <w:kern w:val="0"/>
          <w:sz w:val="36"/>
          <w:szCs w:val="36"/>
        </w:rPr>
        <w:t xml:space="preserve">格式6          </w:t>
      </w:r>
    </w:p>
    <w:p>
      <w:pPr>
        <w:autoSpaceDE w:val="0"/>
        <w:autoSpaceDN w:val="0"/>
        <w:adjustRightInd w:val="0"/>
        <w:spacing w:line="360" w:lineRule="auto"/>
        <w:jc w:val="center"/>
        <w:rPr>
          <w:rFonts w:ascii="仿宋_GB2312" w:hAnsi="宋体" w:eastAsia="仿宋_GB2312"/>
          <w:b/>
          <w:color w:val="000000"/>
          <w:kern w:val="0"/>
          <w:sz w:val="36"/>
          <w:szCs w:val="36"/>
        </w:rPr>
      </w:pPr>
      <w:r>
        <w:rPr>
          <w:rFonts w:hint="eastAsia" w:ascii="黑体" w:hAnsi="宋体" w:eastAsia="黑体"/>
          <w:color w:val="000000"/>
          <w:kern w:val="0"/>
          <w:sz w:val="36"/>
          <w:szCs w:val="36"/>
        </w:rPr>
        <w:t>参选人重要信息一览表</w:t>
      </w:r>
    </w:p>
    <w:p>
      <w:pPr>
        <w:pStyle w:val="2"/>
        <w:spacing w:line="240" w:lineRule="exact"/>
        <w:jc w:val="center"/>
        <w:rPr>
          <w:rFonts w:ascii="仿宋_GB2312" w:hAnsi="宋体"/>
        </w:rPr>
      </w:pPr>
    </w:p>
    <w:p>
      <w:pPr>
        <w:pStyle w:val="2"/>
        <w:spacing w:line="240" w:lineRule="exact"/>
        <w:jc w:val="center"/>
        <w:rPr>
          <w:rFonts w:ascii="仿宋_GB2312" w:hAnsi="宋体"/>
        </w:rPr>
      </w:pPr>
    </w:p>
    <w:tbl>
      <w:tblPr>
        <w:tblStyle w:val="10"/>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654"/>
        <w:gridCol w:w="1576"/>
        <w:gridCol w:w="2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2310" w:type="dxa"/>
            <w:vAlign w:val="center"/>
          </w:tcPr>
          <w:p>
            <w:pPr>
              <w:pStyle w:val="2"/>
              <w:ind w:firstLine="252" w:firstLineChars="100"/>
              <w:rPr>
                <w:rFonts w:ascii="仿宋" w:hAnsi="仿宋" w:eastAsia="仿宋" w:cs="仿宋"/>
                <w:sz w:val="28"/>
                <w:szCs w:val="28"/>
              </w:rPr>
            </w:pPr>
            <w:r>
              <w:rPr>
                <w:rFonts w:hint="eastAsia" w:ascii="仿宋" w:hAnsi="仿宋" w:eastAsia="仿宋" w:cs="仿宋"/>
                <w:spacing w:val="-14"/>
                <w:sz w:val="28"/>
                <w:szCs w:val="28"/>
              </w:rPr>
              <w:t>参选人名</w:t>
            </w:r>
            <w:r>
              <w:rPr>
                <w:rFonts w:hint="eastAsia" w:ascii="仿宋" w:hAnsi="仿宋" w:eastAsia="仿宋" w:cs="仿宋"/>
                <w:sz w:val="28"/>
                <w:szCs w:val="28"/>
              </w:rPr>
              <w:t>称</w:t>
            </w:r>
          </w:p>
        </w:tc>
        <w:tc>
          <w:tcPr>
            <w:tcW w:w="6636" w:type="dxa"/>
            <w:gridSpan w:val="3"/>
            <w:vAlign w:val="center"/>
          </w:tcPr>
          <w:p>
            <w:pPr>
              <w:pStyle w:val="2"/>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0" w:type="dxa"/>
            <w:vAlign w:val="center"/>
          </w:tcPr>
          <w:p>
            <w:pPr>
              <w:pStyle w:val="2"/>
              <w:ind w:firstLine="280" w:firstLineChars="100"/>
              <w:rPr>
                <w:rFonts w:ascii="仿宋" w:hAnsi="仿宋" w:eastAsia="仿宋" w:cs="仿宋"/>
                <w:sz w:val="28"/>
                <w:szCs w:val="28"/>
              </w:rPr>
            </w:pPr>
            <w:r>
              <w:rPr>
                <w:rFonts w:hint="eastAsia" w:ascii="仿宋" w:hAnsi="仿宋" w:eastAsia="仿宋" w:cs="仿宋"/>
                <w:sz w:val="28"/>
                <w:szCs w:val="28"/>
              </w:rPr>
              <w:t>住     所</w:t>
            </w:r>
          </w:p>
        </w:tc>
        <w:tc>
          <w:tcPr>
            <w:tcW w:w="6636" w:type="dxa"/>
            <w:gridSpan w:val="3"/>
            <w:vAlign w:val="center"/>
          </w:tcPr>
          <w:p>
            <w:pPr>
              <w:pStyle w:val="2"/>
              <w:keepNext/>
              <w:keepLines/>
              <w:spacing w:before="260" w:after="260" w:line="416"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0" w:type="dxa"/>
            <w:vAlign w:val="center"/>
          </w:tcPr>
          <w:p>
            <w:pPr>
              <w:pStyle w:val="2"/>
              <w:ind w:firstLine="320" w:firstLineChars="100"/>
              <w:jc w:val="left"/>
              <w:rPr>
                <w:rFonts w:ascii="仿宋" w:hAnsi="仿宋" w:eastAsia="仿宋" w:cs="仿宋"/>
                <w:sz w:val="28"/>
                <w:szCs w:val="28"/>
              </w:rPr>
            </w:pPr>
            <w:r>
              <w:rPr>
                <w:rFonts w:hint="eastAsia" w:ascii="仿宋" w:hAnsi="仿宋" w:eastAsia="仿宋" w:cs="仿宋"/>
                <w:spacing w:val="20"/>
                <w:sz w:val="28"/>
                <w:szCs w:val="28"/>
              </w:rPr>
              <w:t>负责人</w:t>
            </w:r>
          </w:p>
        </w:tc>
        <w:tc>
          <w:tcPr>
            <w:tcW w:w="6636" w:type="dxa"/>
            <w:gridSpan w:val="3"/>
            <w:vAlign w:val="center"/>
          </w:tcPr>
          <w:p>
            <w:pPr>
              <w:pStyle w:val="2"/>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0" w:type="dxa"/>
            <w:vAlign w:val="center"/>
          </w:tcPr>
          <w:p>
            <w:pPr>
              <w:pStyle w:val="2"/>
              <w:ind w:firstLine="280" w:firstLineChars="100"/>
              <w:rPr>
                <w:rFonts w:ascii="仿宋" w:hAnsi="仿宋" w:eastAsia="仿宋" w:cs="仿宋"/>
                <w:sz w:val="28"/>
                <w:szCs w:val="28"/>
              </w:rPr>
            </w:pPr>
            <w:r>
              <w:rPr>
                <w:rFonts w:hint="eastAsia" w:ascii="仿宋" w:hAnsi="仿宋" w:eastAsia="仿宋" w:cs="仿宋"/>
                <w:sz w:val="28"/>
                <w:szCs w:val="28"/>
              </w:rPr>
              <w:t>信誉情况</w:t>
            </w:r>
          </w:p>
        </w:tc>
        <w:tc>
          <w:tcPr>
            <w:tcW w:w="6636" w:type="dxa"/>
            <w:gridSpan w:val="3"/>
            <w:vAlign w:val="center"/>
          </w:tcPr>
          <w:p>
            <w:pPr>
              <w:pStyle w:val="2"/>
              <w:jc w:val="center"/>
              <w:rPr>
                <w:rFonts w:ascii="仿宋" w:hAnsi="仿宋" w:eastAsia="仿宋" w:cs="仿宋"/>
                <w:sz w:val="28"/>
                <w:szCs w:val="28"/>
              </w:rPr>
            </w:pPr>
            <w:r>
              <w:rPr>
                <w:rFonts w:hint="eastAsia" w:ascii="仿宋" w:hAnsi="仿宋" w:eastAsia="仿宋" w:cs="仿宋"/>
                <w:sz w:val="21"/>
                <w:szCs w:val="21"/>
              </w:rPr>
              <w:t>（注：说明近三年是否因执业行为涉诉或被行政处罚）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0" w:type="dxa"/>
            <w:vAlign w:val="center"/>
          </w:tcPr>
          <w:p>
            <w:pPr>
              <w:pStyle w:val="2"/>
              <w:ind w:firstLine="280" w:firstLineChars="100"/>
              <w:rPr>
                <w:rFonts w:ascii="仿宋" w:hAnsi="仿宋" w:eastAsia="仿宋" w:cs="仿宋"/>
                <w:sz w:val="28"/>
                <w:szCs w:val="28"/>
              </w:rPr>
            </w:pPr>
            <w:r>
              <w:rPr>
                <w:rFonts w:hint="eastAsia" w:ascii="仿宋" w:hAnsi="仿宋" w:eastAsia="仿宋" w:cs="仿宋"/>
                <w:sz w:val="28"/>
                <w:szCs w:val="28"/>
              </w:rPr>
              <w:t>成立时间</w:t>
            </w:r>
          </w:p>
        </w:tc>
        <w:tc>
          <w:tcPr>
            <w:tcW w:w="6636" w:type="dxa"/>
            <w:gridSpan w:val="3"/>
            <w:vAlign w:val="center"/>
          </w:tcPr>
          <w:p>
            <w:pPr>
              <w:pStyle w:val="2"/>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0" w:type="dxa"/>
            <w:vAlign w:val="center"/>
          </w:tcPr>
          <w:p>
            <w:pPr>
              <w:pStyle w:val="2"/>
              <w:ind w:firstLine="280" w:firstLineChars="100"/>
              <w:jc w:val="left"/>
              <w:rPr>
                <w:rFonts w:ascii="仿宋" w:hAnsi="仿宋" w:eastAsia="仿宋" w:cs="仿宋"/>
                <w:sz w:val="28"/>
                <w:szCs w:val="28"/>
              </w:rPr>
            </w:pPr>
            <w:r>
              <w:rPr>
                <w:rFonts w:hint="eastAsia" w:ascii="仿宋" w:hAnsi="仿宋" w:eastAsia="仿宋" w:cs="仿宋"/>
                <w:sz w:val="28"/>
                <w:szCs w:val="28"/>
              </w:rPr>
              <w:t>注册号</w:t>
            </w:r>
          </w:p>
        </w:tc>
        <w:tc>
          <w:tcPr>
            <w:tcW w:w="2654" w:type="dxa"/>
            <w:vAlign w:val="center"/>
          </w:tcPr>
          <w:p>
            <w:pPr>
              <w:pStyle w:val="2"/>
              <w:jc w:val="center"/>
              <w:rPr>
                <w:rFonts w:ascii="仿宋" w:hAnsi="仿宋" w:eastAsia="仿宋" w:cs="仿宋"/>
                <w:sz w:val="28"/>
                <w:szCs w:val="28"/>
              </w:rPr>
            </w:pPr>
          </w:p>
        </w:tc>
        <w:tc>
          <w:tcPr>
            <w:tcW w:w="1576" w:type="dxa"/>
            <w:vAlign w:val="center"/>
          </w:tcPr>
          <w:p>
            <w:pPr>
              <w:pStyle w:val="2"/>
              <w:jc w:val="center"/>
              <w:rPr>
                <w:rFonts w:ascii="仿宋" w:hAnsi="仿宋" w:eastAsia="仿宋" w:cs="仿宋"/>
                <w:sz w:val="28"/>
                <w:szCs w:val="28"/>
              </w:rPr>
            </w:pPr>
            <w:r>
              <w:rPr>
                <w:rFonts w:hint="eastAsia" w:ascii="仿宋" w:hAnsi="仿宋" w:eastAsia="仿宋" w:cs="仿宋"/>
                <w:sz w:val="28"/>
                <w:szCs w:val="28"/>
              </w:rPr>
              <w:t>邮政编码</w:t>
            </w:r>
          </w:p>
        </w:tc>
        <w:tc>
          <w:tcPr>
            <w:tcW w:w="2406" w:type="dxa"/>
            <w:vAlign w:val="center"/>
          </w:tcPr>
          <w:p>
            <w:pPr>
              <w:pStyle w:val="2"/>
              <w:keepNext/>
              <w:keepLines/>
              <w:spacing w:before="340" w:after="330" w:line="578" w:lineRule="auto"/>
              <w:jc w:val="center"/>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0" w:type="dxa"/>
            <w:vAlign w:val="center"/>
          </w:tcPr>
          <w:p>
            <w:pPr>
              <w:pStyle w:val="2"/>
              <w:ind w:firstLine="280" w:firstLineChars="100"/>
              <w:rPr>
                <w:rFonts w:ascii="仿宋" w:hAnsi="仿宋" w:eastAsia="仿宋" w:cs="仿宋"/>
                <w:sz w:val="28"/>
                <w:szCs w:val="28"/>
              </w:rPr>
            </w:pPr>
            <w:r>
              <w:rPr>
                <w:rFonts w:hint="eastAsia" w:ascii="仿宋" w:hAnsi="仿宋" w:eastAsia="仿宋" w:cs="仿宋"/>
                <w:sz w:val="28"/>
                <w:szCs w:val="28"/>
              </w:rPr>
              <w:t>电话</w:t>
            </w:r>
          </w:p>
        </w:tc>
        <w:tc>
          <w:tcPr>
            <w:tcW w:w="2654" w:type="dxa"/>
            <w:vAlign w:val="center"/>
          </w:tcPr>
          <w:p>
            <w:pPr>
              <w:pStyle w:val="2"/>
              <w:jc w:val="center"/>
              <w:rPr>
                <w:rFonts w:ascii="仿宋" w:hAnsi="仿宋" w:eastAsia="仿宋" w:cs="仿宋"/>
                <w:sz w:val="28"/>
                <w:szCs w:val="28"/>
              </w:rPr>
            </w:pPr>
          </w:p>
        </w:tc>
        <w:tc>
          <w:tcPr>
            <w:tcW w:w="1576" w:type="dxa"/>
            <w:vAlign w:val="center"/>
          </w:tcPr>
          <w:p>
            <w:pPr>
              <w:pStyle w:val="2"/>
              <w:jc w:val="center"/>
              <w:rPr>
                <w:rFonts w:ascii="仿宋" w:hAnsi="仿宋" w:eastAsia="仿宋" w:cs="仿宋"/>
                <w:sz w:val="28"/>
                <w:szCs w:val="28"/>
              </w:rPr>
            </w:pPr>
            <w:r>
              <w:rPr>
                <w:rFonts w:hint="eastAsia" w:ascii="仿宋" w:hAnsi="仿宋" w:eastAsia="仿宋" w:cs="仿宋"/>
                <w:sz w:val="28"/>
                <w:szCs w:val="28"/>
              </w:rPr>
              <w:t>传真</w:t>
            </w:r>
          </w:p>
        </w:tc>
        <w:tc>
          <w:tcPr>
            <w:tcW w:w="2406" w:type="dxa"/>
            <w:vAlign w:val="center"/>
          </w:tcPr>
          <w:p>
            <w:pPr>
              <w:pStyle w:val="2"/>
              <w:keepNext/>
              <w:keepLines/>
              <w:spacing w:before="340" w:after="330" w:line="578" w:lineRule="auto"/>
              <w:jc w:val="center"/>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0" w:type="dxa"/>
            <w:vAlign w:val="center"/>
          </w:tcPr>
          <w:p>
            <w:pPr>
              <w:pStyle w:val="2"/>
              <w:ind w:firstLine="280" w:firstLineChars="100"/>
              <w:rPr>
                <w:rFonts w:ascii="仿宋" w:hAnsi="仿宋" w:eastAsia="仿宋" w:cs="仿宋"/>
                <w:sz w:val="28"/>
                <w:szCs w:val="28"/>
              </w:rPr>
            </w:pPr>
            <w:r>
              <w:rPr>
                <w:rFonts w:hint="eastAsia" w:ascii="仿宋" w:hAnsi="仿宋" w:eastAsia="仿宋" w:cs="仿宋"/>
                <w:sz w:val="28"/>
                <w:szCs w:val="28"/>
              </w:rPr>
              <w:t>备注</w:t>
            </w:r>
          </w:p>
        </w:tc>
        <w:tc>
          <w:tcPr>
            <w:tcW w:w="6636" w:type="dxa"/>
            <w:gridSpan w:val="3"/>
            <w:vAlign w:val="center"/>
          </w:tcPr>
          <w:p>
            <w:pPr>
              <w:pStyle w:val="2"/>
              <w:jc w:val="center"/>
              <w:rPr>
                <w:rFonts w:ascii="仿宋" w:hAnsi="仿宋" w:eastAsia="仿宋" w:cs="仿宋"/>
                <w:sz w:val="28"/>
                <w:szCs w:val="28"/>
              </w:rPr>
            </w:pPr>
          </w:p>
        </w:tc>
      </w:tr>
    </w:tbl>
    <w:p>
      <w:pPr>
        <w:autoSpaceDE w:val="0"/>
        <w:autoSpaceDN w:val="0"/>
        <w:adjustRightInd w:val="0"/>
        <w:jc w:val="left"/>
        <w:rPr>
          <w:rFonts w:ascii="仿宋_GB2312" w:hAnsi="宋体" w:eastAsia="仿宋_GB2312" w:cs="仿宋_GB2312"/>
          <w:color w:val="000000"/>
          <w:kern w:val="0"/>
          <w:sz w:val="24"/>
        </w:rPr>
      </w:pPr>
    </w:p>
    <w:p>
      <w:pPr>
        <w:autoSpaceDE w:val="0"/>
        <w:autoSpaceDN w:val="0"/>
        <w:adjustRightInd w:val="0"/>
        <w:jc w:val="left"/>
        <w:rPr>
          <w:rFonts w:ascii="仿宋_GB2312" w:hAnsi="宋体" w:eastAsia="仿宋_GB2312" w:cs="仿宋_GB2312"/>
          <w:color w:val="000000"/>
          <w:kern w:val="0"/>
          <w:sz w:val="24"/>
        </w:rPr>
      </w:pPr>
    </w:p>
    <w:p>
      <w:pPr>
        <w:autoSpaceDE w:val="0"/>
        <w:autoSpaceDN w:val="0"/>
        <w:adjustRightInd w:val="0"/>
        <w:jc w:val="left"/>
        <w:rPr>
          <w:rFonts w:ascii="仿宋_GB2312" w:hAnsi="宋体" w:eastAsia="仿宋_GB2312" w:cs="仿宋_GB2312"/>
          <w:color w:val="000000"/>
          <w:kern w:val="0"/>
          <w:sz w:val="24"/>
        </w:rPr>
      </w:pPr>
    </w:p>
    <w:p>
      <w:pPr>
        <w:autoSpaceDE w:val="0"/>
        <w:autoSpaceDN w:val="0"/>
        <w:adjustRightInd w:val="0"/>
        <w:jc w:val="left"/>
        <w:rPr>
          <w:rFonts w:ascii="仿宋_GB2312" w:hAnsi="宋体" w:eastAsia="仿宋_GB2312" w:cs="仿宋_GB2312"/>
          <w:color w:val="000000"/>
          <w:kern w:val="0"/>
          <w:sz w:val="24"/>
        </w:rPr>
      </w:pPr>
    </w:p>
    <w:p>
      <w:pPr>
        <w:autoSpaceDE w:val="0"/>
        <w:autoSpaceDN w:val="0"/>
        <w:adjustRightInd w:val="0"/>
        <w:jc w:val="left"/>
        <w:rPr>
          <w:rFonts w:ascii="仿宋_GB2312" w:hAnsi="宋体" w:eastAsia="仿宋_GB2312" w:cs="仿宋_GB2312"/>
          <w:color w:val="000000"/>
          <w:kern w:val="0"/>
          <w:sz w:val="24"/>
        </w:rPr>
      </w:pPr>
    </w:p>
    <w:p>
      <w:pPr>
        <w:autoSpaceDE w:val="0"/>
        <w:autoSpaceDN w:val="0"/>
        <w:adjustRightInd w:val="0"/>
        <w:jc w:val="left"/>
        <w:rPr>
          <w:rFonts w:ascii="仿宋_GB2312" w:hAnsi="宋体" w:eastAsia="仿宋_GB2312" w:cs="仿宋_GB2312"/>
          <w:color w:val="000000"/>
          <w:kern w:val="0"/>
          <w:sz w:val="24"/>
        </w:rPr>
      </w:pPr>
    </w:p>
    <w:p>
      <w:pPr>
        <w:autoSpaceDE w:val="0"/>
        <w:autoSpaceDN w:val="0"/>
        <w:adjustRightInd w:val="0"/>
        <w:jc w:val="left"/>
        <w:rPr>
          <w:rFonts w:ascii="仿宋_GB2312" w:hAnsi="宋体" w:eastAsia="仿宋_GB2312" w:cs="仿宋_GB2312"/>
          <w:color w:val="000000"/>
          <w:kern w:val="0"/>
          <w:sz w:val="24"/>
        </w:rPr>
      </w:pPr>
    </w:p>
    <w:p>
      <w:pPr>
        <w:autoSpaceDE w:val="0"/>
        <w:autoSpaceDN w:val="0"/>
        <w:adjustRightInd w:val="0"/>
        <w:jc w:val="left"/>
        <w:rPr>
          <w:rFonts w:ascii="仿宋_GB2312" w:hAnsi="宋体" w:eastAsia="仿宋_GB2312" w:cs="仿宋_GB2312"/>
          <w:color w:val="000000"/>
          <w:kern w:val="0"/>
          <w:sz w:val="24"/>
        </w:rPr>
      </w:pPr>
    </w:p>
    <w:p>
      <w:pPr>
        <w:autoSpaceDE w:val="0"/>
        <w:autoSpaceDN w:val="0"/>
        <w:adjustRightInd w:val="0"/>
        <w:jc w:val="left"/>
        <w:rPr>
          <w:rFonts w:ascii="仿宋_GB2312" w:hAnsi="宋体" w:eastAsia="仿宋_GB2312" w:cs="仿宋_GB2312"/>
          <w:color w:val="000000"/>
          <w:kern w:val="0"/>
          <w:sz w:val="24"/>
        </w:rPr>
      </w:pPr>
    </w:p>
    <w:p>
      <w:pPr>
        <w:autoSpaceDE w:val="0"/>
        <w:autoSpaceDN w:val="0"/>
        <w:adjustRightInd w:val="0"/>
        <w:jc w:val="left"/>
        <w:rPr>
          <w:rFonts w:ascii="仿宋_GB2312" w:hAnsi="宋体" w:eastAsia="仿宋_GB2312" w:cs="仿宋_GB2312"/>
          <w:color w:val="000000"/>
          <w:kern w:val="0"/>
          <w:sz w:val="24"/>
        </w:rPr>
      </w:pPr>
    </w:p>
    <w:p>
      <w:pPr>
        <w:autoSpaceDE w:val="0"/>
        <w:autoSpaceDN w:val="0"/>
        <w:adjustRightInd w:val="0"/>
        <w:jc w:val="left"/>
        <w:rPr>
          <w:rFonts w:ascii="仿宋_GB2312" w:hAnsi="宋体" w:eastAsia="仿宋_GB2312" w:cs="仿宋_GB2312"/>
          <w:color w:val="000000"/>
          <w:kern w:val="0"/>
          <w:sz w:val="24"/>
        </w:rPr>
      </w:pPr>
    </w:p>
    <w:p>
      <w:pPr>
        <w:autoSpaceDE w:val="0"/>
        <w:autoSpaceDN w:val="0"/>
        <w:adjustRightInd w:val="0"/>
        <w:jc w:val="left"/>
        <w:rPr>
          <w:rFonts w:ascii="仿宋_GB2312" w:hAnsi="宋体" w:eastAsia="仿宋_GB2312" w:cs="仿宋_GB2312"/>
          <w:color w:val="000000"/>
          <w:kern w:val="0"/>
          <w:sz w:val="24"/>
        </w:rPr>
      </w:pPr>
    </w:p>
    <w:p>
      <w:pPr>
        <w:autoSpaceDE w:val="0"/>
        <w:autoSpaceDN w:val="0"/>
        <w:adjustRightInd w:val="0"/>
        <w:jc w:val="left"/>
        <w:rPr>
          <w:rFonts w:ascii="仿宋_GB2312" w:hAnsi="宋体" w:eastAsia="仿宋_GB2312" w:cs="仿宋_GB2312"/>
          <w:color w:val="000000"/>
          <w:kern w:val="0"/>
          <w:sz w:val="24"/>
        </w:rPr>
      </w:pPr>
    </w:p>
    <w:p>
      <w:pPr>
        <w:autoSpaceDE w:val="0"/>
        <w:autoSpaceDN w:val="0"/>
        <w:adjustRightInd w:val="0"/>
        <w:jc w:val="left"/>
        <w:rPr>
          <w:rFonts w:ascii="仿宋_GB2312" w:hAnsi="宋体" w:eastAsia="仿宋_GB2312" w:cs="仿宋_GB2312"/>
          <w:color w:val="000000"/>
          <w:kern w:val="0"/>
          <w:sz w:val="24"/>
        </w:rPr>
      </w:pPr>
    </w:p>
    <w:p>
      <w:pPr>
        <w:autoSpaceDE w:val="0"/>
        <w:autoSpaceDN w:val="0"/>
        <w:adjustRightInd w:val="0"/>
        <w:jc w:val="left"/>
        <w:rPr>
          <w:rFonts w:ascii="仿宋_GB2312" w:hAnsi="宋体" w:eastAsia="仿宋_GB2312" w:cs="仿宋_GB2312"/>
          <w:color w:val="000000"/>
          <w:kern w:val="0"/>
          <w:sz w:val="24"/>
        </w:rPr>
      </w:pPr>
    </w:p>
    <w:p>
      <w:pPr>
        <w:autoSpaceDE w:val="0"/>
        <w:autoSpaceDN w:val="0"/>
        <w:adjustRightInd w:val="0"/>
        <w:jc w:val="left"/>
        <w:rPr>
          <w:rFonts w:ascii="仿宋_GB2312" w:hAnsi="宋体" w:eastAsia="仿宋_GB2312" w:cs="仿宋_GB2312"/>
          <w:color w:val="000000"/>
          <w:kern w:val="0"/>
          <w:sz w:val="24"/>
        </w:rPr>
      </w:pPr>
    </w:p>
    <w:p>
      <w:pPr>
        <w:autoSpaceDE w:val="0"/>
        <w:autoSpaceDN w:val="0"/>
        <w:adjustRightInd w:val="0"/>
        <w:jc w:val="left"/>
        <w:rPr>
          <w:rFonts w:ascii="仿宋_GB2312" w:hAnsi="宋体" w:eastAsia="仿宋_GB2312" w:cs="仿宋_GB2312"/>
          <w:color w:val="000000"/>
          <w:kern w:val="0"/>
          <w:sz w:val="24"/>
        </w:rPr>
      </w:pPr>
    </w:p>
    <w:p>
      <w:pPr>
        <w:autoSpaceDE w:val="0"/>
        <w:autoSpaceDN w:val="0"/>
        <w:adjustRightInd w:val="0"/>
        <w:jc w:val="left"/>
        <w:rPr>
          <w:rFonts w:ascii="仿宋_GB2312" w:hAnsi="宋体" w:eastAsia="仿宋_GB2312" w:cs="仿宋_GB2312"/>
          <w:color w:val="000000"/>
          <w:kern w:val="0"/>
          <w:sz w:val="24"/>
        </w:rPr>
      </w:pPr>
    </w:p>
    <w:p>
      <w:pPr>
        <w:autoSpaceDE w:val="0"/>
        <w:autoSpaceDN w:val="0"/>
        <w:adjustRightInd w:val="0"/>
        <w:jc w:val="left"/>
        <w:rPr>
          <w:rFonts w:ascii="仿宋_GB2312" w:hAnsi="宋体" w:eastAsia="仿宋_GB2312" w:cs="仿宋_GB2312"/>
          <w:color w:val="000000"/>
          <w:kern w:val="0"/>
          <w:sz w:val="24"/>
        </w:rPr>
      </w:pPr>
    </w:p>
    <w:p>
      <w:pPr>
        <w:autoSpaceDE w:val="0"/>
        <w:autoSpaceDN w:val="0"/>
        <w:adjustRightInd w:val="0"/>
        <w:jc w:val="left"/>
        <w:rPr>
          <w:rFonts w:ascii="仿宋_GB2312" w:hAnsi="宋体" w:eastAsia="仿宋_GB2312" w:cs="仿宋_GB2312"/>
          <w:color w:val="000000"/>
          <w:kern w:val="0"/>
          <w:sz w:val="24"/>
        </w:rPr>
      </w:pPr>
    </w:p>
    <w:p>
      <w:pPr>
        <w:autoSpaceDE w:val="0"/>
        <w:autoSpaceDN w:val="0"/>
        <w:adjustRightInd w:val="0"/>
        <w:jc w:val="left"/>
        <w:rPr>
          <w:rFonts w:ascii="仿宋_GB2312" w:hAnsi="宋体" w:eastAsia="仿宋_GB2312" w:cs="仿宋_GB2312"/>
          <w:color w:val="000000"/>
          <w:kern w:val="0"/>
          <w:sz w:val="24"/>
        </w:rPr>
      </w:pPr>
    </w:p>
    <w:p>
      <w:pPr>
        <w:widowControl/>
        <w:jc w:val="center"/>
        <w:rPr>
          <w:rFonts w:ascii="黑体" w:eastAsia="黑体"/>
          <w:sz w:val="28"/>
          <w:szCs w:val="28"/>
        </w:rPr>
      </w:pPr>
      <w:r>
        <w:rPr>
          <w:rFonts w:hint="eastAsia" w:ascii="黑体" w:hAnsi="黑体" w:eastAsia="黑体"/>
          <w:sz w:val="36"/>
          <w:szCs w:val="36"/>
        </w:rPr>
        <w:t>第三章 评分及评选办法</w:t>
      </w:r>
    </w:p>
    <w:p>
      <w:pPr>
        <w:autoSpaceDE w:val="0"/>
        <w:autoSpaceDN w:val="0"/>
        <w:adjustRightInd w:val="0"/>
        <w:spacing w:before="100" w:after="100" w:line="560" w:lineRule="exact"/>
        <w:ind w:firstLine="640" w:firstLineChars="200"/>
        <w:rPr>
          <w:rFonts w:ascii="仿宋" w:hAnsi="仿宋" w:eastAsia="仿宋" w:cs="仿宋"/>
          <w:sz w:val="32"/>
          <w:szCs w:val="32"/>
        </w:rPr>
      </w:pPr>
      <w:r>
        <w:rPr>
          <w:rFonts w:hint="eastAsia" w:ascii="仿宋" w:hAnsi="仿宋" w:eastAsia="仿宋" w:cs="仿宋"/>
          <w:sz w:val="32"/>
          <w:szCs w:val="32"/>
        </w:rPr>
        <w:t>本次比选活动的评选过程将采用综合评分的方法进行评选，满分为100分。</w:t>
      </w:r>
    </w:p>
    <w:p>
      <w:pPr>
        <w:pStyle w:val="18"/>
        <w:numPr>
          <w:ilvl w:val="255"/>
          <w:numId w:val="0"/>
        </w:numPr>
        <w:spacing w:before="100" w:after="100" w:line="560" w:lineRule="exact"/>
        <w:ind w:left="560"/>
        <w:rPr>
          <w:rFonts w:ascii="仿宋" w:hAnsi="仿宋" w:eastAsia="仿宋" w:cs="仿宋"/>
          <w:b/>
          <w:bCs/>
          <w:sz w:val="32"/>
          <w:szCs w:val="32"/>
        </w:rPr>
      </w:pPr>
      <w:r>
        <w:rPr>
          <w:rFonts w:hint="eastAsia" w:ascii="仿宋" w:hAnsi="仿宋" w:eastAsia="仿宋" w:cs="仿宋"/>
          <w:b/>
          <w:bCs/>
          <w:sz w:val="32"/>
          <w:szCs w:val="32"/>
        </w:rPr>
        <w:t>一、评分及评分标准</w:t>
      </w:r>
    </w:p>
    <w:tbl>
      <w:tblPr>
        <w:tblStyle w:val="10"/>
        <w:tblpPr w:leftFromText="180" w:rightFromText="180" w:vertAnchor="text" w:horzAnchor="page" w:tblpXSpec="center" w:tblpY="645"/>
        <w:tblOverlap w:val="never"/>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2995"/>
        <w:gridCol w:w="718"/>
        <w:gridCol w:w="4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75" w:type="dxa"/>
            <w:vAlign w:val="center"/>
          </w:tcPr>
          <w:p>
            <w:pPr>
              <w:spacing w:line="600" w:lineRule="exact"/>
              <w:jc w:val="center"/>
            </w:pPr>
            <w:r>
              <w:rPr>
                <w:rFonts w:hint="eastAsia"/>
              </w:rPr>
              <w:t>项目</w:t>
            </w:r>
          </w:p>
        </w:tc>
        <w:tc>
          <w:tcPr>
            <w:tcW w:w="2995" w:type="dxa"/>
            <w:vAlign w:val="center"/>
          </w:tcPr>
          <w:p>
            <w:pPr>
              <w:spacing w:line="600" w:lineRule="exact"/>
              <w:jc w:val="center"/>
            </w:pPr>
            <w:r>
              <w:rPr>
                <w:rFonts w:hint="eastAsia"/>
              </w:rPr>
              <w:t>明细</w:t>
            </w:r>
          </w:p>
        </w:tc>
        <w:tc>
          <w:tcPr>
            <w:tcW w:w="718" w:type="dxa"/>
            <w:vAlign w:val="center"/>
          </w:tcPr>
          <w:p>
            <w:pPr>
              <w:spacing w:line="600" w:lineRule="exact"/>
              <w:jc w:val="center"/>
            </w:pPr>
            <w:r>
              <w:rPr>
                <w:rFonts w:hint="eastAsia"/>
              </w:rPr>
              <w:t>分值</w:t>
            </w:r>
          </w:p>
        </w:tc>
        <w:tc>
          <w:tcPr>
            <w:tcW w:w="4393" w:type="dxa"/>
            <w:vAlign w:val="center"/>
          </w:tcPr>
          <w:p>
            <w:pPr>
              <w:spacing w:line="600" w:lineRule="exact"/>
              <w:jc w:val="center"/>
            </w:pPr>
            <w:r>
              <w:rPr>
                <w:rFonts w:hint="eastAsia"/>
              </w:rPr>
              <w:t>评判标准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Merge w:val="restart"/>
            <w:vAlign w:val="center"/>
          </w:tcPr>
          <w:p>
            <w:pPr>
              <w:spacing w:line="600" w:lineRule="exact"/>
              <w:jc w:val="center"/>
            </w:pPr>
            <w:r>
              <w:rPr>
                <w:rFonts w:hint="eastAsia"/>
              </w:rPr>
              <w:t>方案报价</w:t>
            </w:r>
          </w:p>
        </w:tc>
        <w:tc>
          <w:tcPr>
            <w:tcW w:w="2995" w:type="dxa"/>
            <w:vAlign w:val="center"/>
          </w:tcPr>
          <w:p>
            <w:pPr>
              <w:spacing w:line="600" w:lineRule="exact"/>
              <w:jc w:val="center"/>
            </w:pPr>
            <w:r>
              <w:rPr>
                <w:rFonts w:hint="eastAsia"/>
              </w:rPr>
              <w:t>员工团体福利保险报价</w:t>
            </w:r>
          </w:p>
        </w:tc>
        <w:tc>
          <w:tcPr>
            <w:tcW w:w="718" w:type="dxa"/>
            <w:vAlign w:val="center"/>
          </w:tcPr>
          <w:p>
            <w:pPr>
              <w:spacing w:line="600" w:lineRule="exact"/>
              <w:jc w:val="center"/>
            </w:pPr>
            <w:r>
              <w:rPr>
                <w:rFonts w:hint="eastAsia"/>
              </w:rPr>
              <w:t>20</w:t>
            </w:r>
          </w:p>
        </w:tc>
        <w:tc>
          <w:tcPr>
            <w:tcW w:w="4393" w:type="dxa"/>
            <w:vAlign w:val="center"/>
          </w:tcPr>
          <w:p>
            <w:pPr>
              <w:spacing w:line="360" w:lineRule="exact"/>
              <w:jc w:val="left"/>
            </w:pPr>
            <w:r>
              <w:rPr>
                <w:rFonts w:hint="eastAsia"/>
              </w:rPr>
              <w:t>员工团体福利保险限价2000元/人</w:t>
            </w:r>
            <w:r>
              <w:rPr>
                <w:rFonts w:hint="eastAsia" w:ascii="方正仿宋简体" w:hAnsi="方正仿宋简体" w:eastAsia="方正仿宋简体" w:cs="方正仿宋简体"/>
              </w:rPr>
              <w:t>·</w:t>
            </w:r>
            <w:r>
              <w:rPr>
                <w:rFonts w:hint="eastAsia"/>
              </w:rPr>
              <w:t>年，在同样保额前提下，以最低报价为基准，最低报价得分为20分，每名之间相差5分，报价越低，得分越高，以此类推。（请按照格式4的保额清单，进行报价）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075" w:type="dxa"/>
            <w:vMerge w:val="continue"/>
            <w:vAlign w:val="center"/>
          </w:tcPr>
          <w:p>
            <w:pPr>
              <w:spacing w:line="600" w:lineRule="exact"/>
              <w:jc w:val="center"/>
            </w:pPr>
          </w:p>
        </w:tc>
        <w:tc>
          <w:tcPr>
            <w:tcW w:w="2995" w:type="dxa"/>
            <w:vAlign w:val="center"/>
          </w:tcPr>
          <w:p>
            <w:pPr>
              <w:spacing w:line="600" w:lineRule="exact"/>
              <w:jc w:val="center"/>
            </w:pPr>
            <w:r>
              <w:rPr>
                <w:rFonts w:hint="eastAsia"/>
              </w:rPr>
              <w:t>员工医疗基金管理费报价</w:t>
            </w:r>
          </w:p>
        </w:tc>
        <w:tc>
          <w:tcPr>
            <w:tcW w:w="718" w:type="dxa"/>
            <w:vAlign w:val="center"/>
          </w:tcPr>
          <w:p>
            <w:pPr>
              <w:spacing w:line="600" w:lineRule="exact"/>
              <w:jc w:val="center"/>
            </w:pPr>
            <w:r>
              <w:rPr>
                <w:rFonts w:hint="eastAsia"/>
              </w:rPr>
              <w:t>30</w:t>
            </w:r>
          </w:p>
        </w:tc>
        <w:tc>
          <w:tcPr>
            <w:tcW w:w="4393" w:type="dxa"/>
            <w:vAlign w:val="center"/>
          </w:tcPr>
          <w:p>
            <w:pPr>
              <w:spacing w:line="360" w:lineRule="exact"/>
              <w:jc w:val="left"/>
            </w:pPr>
            <w:r>
              <w:rPr>
                <w:rFonts w:hint="eastAsia"/>
              </w:rPr>
              <w:t>员工医疗基金管理费按照以最低报价为基准，最低报价得分为30分，每名之间相差5分，报价越低，得分越高，以此类推。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vAlign w:val="center"/>
          </w:tcPr>
          <w:p>
            <w:pPr>
              <w:spacing w:line="600" w:lineRule="exact"/>
              <w:jc w:val="center"/>
            </w:pPr>
            <w:r>
              <w:rPr>
                <w:rFonts w:hint="eastAsia"/>
              </w:rPr>
              <w:t>方案评价</w:t>
            </w:r>
          </w:p>
        </w:tc>
        <w:tc>
          <w:tcPr>
            <w:tcW w:w="2995" w:type="dxa"/>
            <w:vAlign w:val="center"/>
          </w:tcPr>
          <w:p>
            <w:pPr>
              <w:spacing w:line="600" w:lineRule="exact"/>
              <w:jc w:val="center"/>
            </w:pPr>
            <w:r>
              <w:rPr>
                <w:rFonts w:hint="eastAsia"/>
              </w:rPr>
              <w:t>方案设计合理，满足保障需求</w:t>
            </w:r>
          </w:p>
        </w:tc>
        <w:tc>
          <w:tcPr>
            <w:tcW w:w="718" w:type="dxa"/>
            <w:vAlign w:val="center"/>
          </w:tcPr>
          <w:p>
            <w:pPr>
              <w:spacing w:line="600" w:lineRule="exact"/>
              <w:jc w:val="center"/>
            </w:pPr>
            <w:r>
              <w:rPr>
                <w:rFonts w:hint="eastAsia"/>
              </w:rPr>
              <w:t>10</w:t>
            </w:r>
          </w:p>
        </w:tc>
        <w:tc>
          <w:tcPr>
            <w:tcW w:w="4393" w:type="dxa"/>
            <w:vAlign w:val="center"/>
          </w:tcPr>
          <w:p>
            <w:pPr>
              <w:spacing w:line="360" w:lineRule="exact"/>
              <w:jc w:val="left"/>
            </w:pPr>
            <w:r>
              <w:rPr>
                <w:rFonts w:hint="eastAsia"/>
              </w:rPr>
              <w:t>根据方案是否满足实际需求酌情打分。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vAlign w:val="center"/>
          </w:tcPr>
          <w:p>
            <w:pPr>
              <w:spacing w:line="600" w:lineRule="exact"/>
              <w:jc w:val="center"/>
            </w:pPr>
          </w:p>
        </w:tc>
        <w:tc>
          <w:tcPr>
            <w:tcW w:w="2995" w:type="dxa"/>
            <w:vAlign w:val="center"/>
          </w:tcPr>
          <w:p>
            <w:pPr>
              <w:spacing w:line="600" w:lineRule="exact"/>
              <w:jc w:val="center"/>
            </w:pPr>
            <w:r>
              <w:rPr>
                <w:rFonts w:hint="eastAsia"/>
              </w:rPr>
              <w:t>偿付便捷度及能力</w:t>
            </w:r>
          </w:p>
        </w:tc>
        <w:tc>
          <w:tcPr>
            <w:tcW w:w="718" w:type="dxa"/>
            <w:vAlign w:val="center"/>
          </w:tcPr>
          <w:p>
            <w:pPr>
              <w:spacing w:line="600" w:lineRule="exact"/>
              <w:jc w:val="center"/>
            </w:pPr>
            <w:r>
              <w:rPr>
                <w:rFonts w:hint="eastAsia"/>
              </w:rPr>
              <w:t>5</w:t>
            </w:r>
          </w:p>
        </w:tc>
        <w:tc>
          <w:tcPr>
            <w:tcW w:w="4393" w:type="dxa"/>
            <w:vAlign w:val="center"/>
          </w:tcPr>
          <w:p>
            <w:pPr>
              <w:spacing w:line="360" w:lineRule="exact"/>
              <w:jc w:val="left"/>
            </w:pPr>
            <w:r>
              <w:rPr>
                <w:rFonts w:hint="eastAsia"/>
              </w:rPr>
              <w:t>在理赔手续齐全的情况下，方式便捷、理赔时间最短得分为5分，每名之间相差1分，时效越快，得分越高，以此类推。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vAlign w:val="center"/>
          </w:tcPr>
          <w:p>
            <w:pPr>
              <w:spacing w:line="600" w:lineRule="exact"/>
              <w:jc w:val="center"/>
            </w:pPr>
          </w:p>
        </w:tc>
        <w:tc>
          <w:tcPr>
            <w:tcW w:w="2995" w:type="dxa"/>
            <w:vAlign w:val="center"/>
          </w:tcPr>
          <w:p>
            <w:pPr>
              <w:spacing w:line="600" w:lineRule="exact"/>
              <w:jc w:val="center"/>
            </w:pPr>
            <w:r>
              <w:rPr>
                <w:rFonts w:hint="eastAsia"/>
              </w:rPr>
              <w:t>方案案例阐述简单、明确</w:t>
            </w:r>
          </w:p>
        </w:tc>
        <w:tc>
          <w:tcPr>
            <w:tcW w:w="718" w:type="dxa"/>
            <w:vAlign w:val="center"/>
          </w:tcPr>
          <w:p>
            <w:pPr>
              <w:spacing w:line="600" w:lineRule="exact"/>
              <w:jc w:val="center"/>
            </w:pPr>
            <w:r>
              <w:rPr>
                <w:rFonts w:hint="eastAsia"/>
              </w:rPr>
              <w:t>5</w:t>
            </w:r>
          </w:p>
        </w:tc>
        <w:tc>
          <w:tcPr>
            <w:tcW w:w="4393" w:type="dxa"/>
            <w:vAlign w:val="center"/>
          </w:tcPr>
          <w:p>
            <w:pPr>
              <w:spacing w:line="360" w:lineRule="exact"/>
              <w:jc w:val="left"/>
            </w:pPr>
            <w:r>
              <w:rPr>
                <w:rFonts w:hint="eastAsia"/>
              </w:rPr>
              <w:t>根据方案陈述内容清晰、详尽、明确酌情打分。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75" w:type="dxa"/>
            <w:vMerge w:val="restart"/>
            <w:vAlign w:val="center"/>
          </w:tcPr>
          <w:p>
            <w:pPr>
              <w:spacing w:line="600" w:lineRule="exact"/>
            </w:pPr>
            <w:r>
              <w:rPr>
                <w:rFonts w:hint="eastAsia"/>
              </w:rPr>
              <w:t>客户服务</w:t>
            </w:r>
          </w:p>
        </w:tc>
        <w:tc>
          <w:tcPr>
            <w:tcW w:w="2995" w:type="dxa"/>
            <w:vAlign w:val="center"/>
          </w:tcPr>
          <w:p>
            <w:pPr>
              <w:spacing w:line="600" w:lineRule="exact"/>
              <w:jc w:val="center"/>
            </w:pPr>
            <w:r>
              <w:rPr>
                <w:rFonts w:hint="eastAsia"/>
              </w:rPr>
              <w:t>项目团队及分工</w:t>
            </w:r>
          </w:p>
        </w:tc>
        <w:tc>
          <w:tcPr>
            <w:tcW w:w="718" w:type="dxa"/>
            <w:vAlign w:val="center"/>
          </w:tcPr>
          <w:p>
            <w:pPr>
              <w:spacing w:line="600" w:lineRule="exact"/>
              <w:jc w:val="center"/>
              <w:rPr>
                <w:rFonts w:hint="default" w:eastAsia="宋体"/>
                <w:lang w:val="en-US" w:eastAsia="zh-CN"/>
              </w:rPr>
            </w:pPr>
            <w:r>
              <w:rPr>
                <w:rFonts w:hint="eastAsia"/>
                <w:lang w:val="en-US" w:eastAsia="zh-CN"/>
              </w:rPr>
              <w:t>5</w:t>
            </w:r>
          </w:p>
        </w:tc>
        <w:tc>
          <w:tcPr>
            <w:tcW w:w="4393" w:type="dxa"/>
            <w:vAlign w:val="center"/>
          </w:tcPr>
          <w:p>
            <w:pPr>
              <w:spacing w:line="360" w:lineRule="exact"/>
              <w:jc w:val="left"/>
            </w:pPr>
            <w:r>
              <w:rPr>
                <w:rFonts w:hint="eastAsia"/>
              </w:rPr>
              <w:t>有专门服务本项目的团队及明确分工</w:t>
            </w:r>
            <w:r>
              <w:rPr>
                <w:rFonts w:hint="eastAsia"/>
                <w:lang w:val="en-US" w:eastAsia="zh-CN"/>
              </w:rPr>
              <w:t>5</w:t>
            </w:r>
            <w:r>
              <w:rPr>
                <w:rFonts w:hint="eastAsia"/>
              </w:rPr>
              <w:t>分；有专门负责的团队，无明确分工，</w:t>
            </w:r>
            <w:r>
              <w:rPr>
                <w:rFonts w:hint="eastAsia"/>
                <w:lang w:val="en-US" w:eastAsia="zh-CN"/>
              </w:rPr>
              <w:t>3</w:t>
            </w:r>
            <w:r>
              <w:rPr>
                <w:rFonts w:hint="eastAsia"/>
              </w:rPr>
              <w:t>分；均无，0分。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75" w:type="dxa"/>
            <w:vMerge w:val="continue"/>
            <w:vAlign w:val="center"/>
          </w:tcPr>
          <w:p>
            <w:pPr>
              <w:spacing w:line="600" w:lineRule="exact"/>
              <w:jc w:val="center"/>
            </w:pPr>
          </w:p>
        </w:tc>
        <w:tc>
          <w:tcPr>
            <w:tcW w:w="2995" w:type="dxa"/>
            <w:vAlign w:val="center"/>
          </w:tcPr>
          <w:p>
            <w:pPr>
              <w:spacing w:line="600" w:lineRule="exact"/>
              <w:jc w:val="center"/>
            </w:pPr>
            <w:r>
              <w:rPr>
                <w:rFonts w:hint="eastAsia"/>
              </w:rPr>
              <w:t>项目负责人及服务人员的经验</w:t>
            </w:r>
          </w:p>
        </w:tc>
        <w:tc>
          <w:tcPr>
            <w:tcW w:w="718" w:type="dxa"/>
            <w:vAlign w:val="center"/>
          </w:tcPr>
          <w:p>
            <w:pPr>
              <w:spacing w:line="600" w:lineRule="exact"/>
              <w:jc w:val="center"/>
            </w:pPr>
            <w:r>
              <w:rPr>
                <w:rFonts w:hint="eastAsia"/>
              </w:rPr>
              <w:t>5</w:t>
            </w:r>
          </w:p>
        </w:tc>
        <w:tc>
          <w:tcPr>
            <w:tcW w:w="4393" w:type="dxa"/>
            <w:vAlign w:val="center"/>
          </w:tcPr>
          <w:p>
            <w:pPr>
              <w:spacing w:line="360" w:lineRule="exact"/>
              <w:jc w:val="left"/>
            </w:pPr>
            <w:r>
              <w:rPr>
                <w:rFonts w:hint="eastAsia"/>
              </w:rPr>
              <w:t>项目负责人及服务人员有类似项目经验，5分；项目负责人及服务人员无类似项目经验，0分。需提供类似项目名称、合同、联系人等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75" w:type="dxa"/>
            <w:vMerge w:val="continue"/>
            <w:vAlign w:val="center"/>
          </w:tcPr>
          <w:p>
            <w:pPr>
              <w:spacing w:line="600" w:lineRule="exact"/>
              <w:jc w:val="center"/>
            </w:pPr>
          </w:p>
        </w:tc>
        <w:tc>
          <w:tcPr>
            <w:tcW w:w="2995" w:type="dxa"/>
            <w:vAlign w:val="center"/>
          </w:tcPr>
          <w:p>
            <w:pPr>
              <w:spacing w:line="600" w:lineRule="exact"/>
              <w:jc w:val="center"/>
            </w:pPr>
            <w:r>
              <w:rPr>
                <w:rFonts w:hint="eastAsia"/>
              </w:rPr>
              <w:t>增值保障服务</w:t>
            </w:r>
          </w:p>
        </w:tc>
        <w:tc>
          <w:tcPr>
            <w:tcW w:w="718" w:type="dxa"/>
            <w:vAlign w:val="center"/>
          </w:tcPr>
          <w:p>
            <w:pPr>
              <w:spacing w:line="600" w:lineRule="exact"/>
              <w:jc w:val="center"/>
            </w:pPr>
            <w:r>
              <w:rPr>
                <w:rFonts w:hint="eastAsia"/>
              </w:rPr>
              <w:t>5</w:t>
            </w:r>
          </w:p>
        </w:tc>
        <w:tc>
          <w:tcPr>
            <w:tcW w:w="4393" w:type="dxa"/>
            <w:vAlign w:val="center"/>
          </w:tcPr>
          <w:p>
            <w:pPr>
              <w:spacing w:line="360" w:lineRule="exact"/>
              <w:jc w:val="left"/>
            </w:pPr>
            <w:r>
              <w:rPr>
                <w:rFonts w:hint="eastAsia"/>
              </w:rPr>
              <w:t>有增值保障服务内容，亮点突出，5分；有增值保障服务内容，亮点不突出，3分；无增值保障服务内容，0分。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75" w:type="dxa"/>
            <w:vMerge w:val="restart"/>
            <w:vAlign w:val="center"/>
          </w:tcPr>
          <w:p>
            <w:pPr>
              <w:spacing w:line="600" w:lineRule="exact"/>
              <w:jc w:val="center"/>
            </w:pPr>
            <w:r>
              <w:rPr>
                <w:rFonts w:hint="eastAsia"/>
              </w:rPr>
              <w:t>公司能力</w:t>
            </w:r>
          </w:p>
        </w:tc>
        <w:tc>
          <w:tcPr>
            <w:tcW w:w="2995" w:type="dxa"/>
            <w:vAlign w:val="center"/>
          </w:tcPr>
          <w:p>
            <w:pPr>
              <w:spacing w:line="600" w:lineRule="exact"/>
              <w:jc w:val="center"/>
              <w:rPr>
                <w:color w:val="auto"/>
                <w:shd w:val="clear" w:color="auto" w:fill="auto"/>
              </w:rPr>
            </w:pPr>
            <w:r>
              <w:rPr>
                <w:rFonts w:hint="eastAsia"/>
                <w:color w:val="auto"/>
                <w:shd w:val="clear" w:color="auto" w:fill="auto"/>
              </w:rPr>
              <w:t>市场项目经验</w:t>
            </w:r>
          </w:p>
        </w:tc>
        <w:tc>
          <w:tcPr>
            <w:tcW w:w="718" w:type="dxa"/>
            <w:vAlign w:val="center"/>
          </w:tcPr>
          <w:p>
            <w:pPr>
              <w:spacing w:line="600" w:lineRule="exact"/>
              <w:jc w:val="center"/>
              <w:rPr>
                <w:color w:val="auto"/>
                <w:shd w:val="clear" w:color="auto" w:fill="auto"/>
              </w:rPr>
            </w:pPr>
            <w:r>
              <w:rPr>
                <w:rFonts w:hint="eastAsia"/>
                <w:color w:val="auto"/>
                <w:shd w:val="clear" w:color="auto" w:fill="auto"/>
              </w:rPr>
              <w:t>5</w:t>
            </w:r>
          </w:p>
        </w:tc>
        <w:tc>
          <w:tcPr>
            <w:tcW w:w="4393" w:type="dxa"/>
            <w:vAlign w:val="center"/>
          </w:tcPr>
          <w:p>
            <w:pPr>
              <w:spacing w:line="360" w:lineRule="exact"/>
              <w:jc w:val="left"/>
              <w:rPr>
                <w:color w:val="auto"/>
                <w:shd w:val="clear" w:color="auto" w:fill="auto"/>
              </w:rPr>
            </w:pPr>
            <w:r>
              <w:rPr>
                <w:rFonts w:hint="eastAsia"/>
                <w:color w:val="auto"/>
                <w:lang w:eastAsia="zh-CN"/>
              </w:rPr>
              <w:t>有与比选人所需服务一致的</w:t>
            </w:r>
            <w:r>
              <w:rPr>
                <w:rFonts w:hint="eastAsia"/>
                <w:color w:val="auto"/>
              </w:rPr>
              <w:t>相关业绩</w:t>
            </w:r>
            <w:r>
              <w:rPr>
                <w:rFonts w:hint="eastAsia"/>
                <w:color w:val="auto"/>
                <w:shd w:val="clear" w:color="auto" w:fill="auto"/>
              </w:rPr>
              <w:t>，</w:t>
            </w:r>
            <w:r>
              <w:rPr>
                <w:rFonts w:ascii="Times New Roman" w:hAnsi="Times New Roman" w:cs="Times New Roman"/>
                <w:color w:val="auto"/>
                <w:shd w:val="clear" w:color="auto" w:fill="auto"/>
              </w:rPr>
              <w:t>每个</w:t>
            </w:r>
            <w:r>
              <w:rPr>
                <w:rFonts w:hint="eastAsia" w:ascii="Times New Roman" w:hAnsi="Times New Roman" w:cs="Times New Roman"/>
                <w:color w:val="auto"/>
                <w:shd w:val="clear" w:color="auto" w:fill="auto"/>
              </w:rPr>
              <w:t>1</w:t>
            </w:r>
            <w:r>
              <w:rPr>
                <w:rFonts w:ascii="Times New Roman" w:hAnsi="Times New Roman" w:cs="Times New Roman"/>
                <w:color w:val="auto"/>
                <w:shd w:val="clear" w:color="auto" w:fill="auto"/>
              </w:rPr>
              <w:t>分</w:t>
            </w:r>
            <w:r>
              <w:rPr>
                <w:rFonts w:hint="eastAsia" w:ascii="Times New Roman" w:hAnsi="Times New Roman" w:cs="Times New Roman"/>
                <w:color w:val="auto"/>
                <w:shd w:val="clear" w:color="auto" w:fill="auto"/>
              </w:rPr>
              <w:t>，最高得5分</w:t>
            </w:r>
            <w:r>
              <w:rPr>
                <w:rFonts w:hint="eastAsia"/>
                <w:color w:val="auto"/>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75" w:type="dxa"/>
            <w:vMerge w:val="continue"/>
            <w:vAlign w:val="center"/>
          </w:tcPr>
          <w:p>
            <w:pPr>
              <w:spacing w:line="600" w:lineRule="exact"/>
              <w:jc w:val="center"/>
            </w:pPr>
          </w:p>
        </w:tc>
        <w:tc>
          <w:tcPr>
            <w:tcW w:w="2995" w:type="dxa"/>
            <w:vAlign w:val="center"/>
          </w:tcPr>
          <w:p>
            <w:pPr>
              <w:spacing w:line="600" w:lineRule="exact"/>
              <w:jc w:val="center"/>
            </w:pPr>
            <w:r>
              <w:rPr>
                <w:rFonts w:hint="eastAsia"/>
              </w:rPr>
              <w:t>财务票据合规性</w:t>
            </w:r>
          </w:p>
        </w:tc>
        <w:tc>
          <w:tcPr>
            <w:tcW w:w="718" w:type="dxa"/>
            <w:vAlign w:val="center"/>
          </w:tcPr>
          <w:p>
            <w:pPr>
              <w:spacing w:line="600" w:lineRule="exact"/>
              <w:jc w:val="center"/>
            </w:pPr>
            <w:r>
              <w:rPr>
                <w:rFonts w:hint="eastAsia"/>
              </w:rPr>
              <w:t>5</w:t>
            </w:r>
          </w:p>
        </w:tc>
        <w:tc>
          <w:tcPr>
            <w:tcW w:w="4393" w:type="dxa"/>
            <w:vAlign w:val="center"/>
          </w:tcPr>
          <w:p>
            <w:pPr>
              <w:spacing w:line="360" w:lineRule="exact"/>
              <w:jc w:val="left"/>
            </w:pPr>
            <w:r>
              <w:rPr>
                <w:rFonts w:hint="eastAsia"/>
              </w:rPr>
              <w:t>能够出具增值税专用发票，5分；只能出具增值税普遍发票，3分，不能出具发票，0分。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75" w:type="dxa"/>
            <w:vMerge w:val="continue"/>
            <w:vAlign w:val="center"/>
          </w:tcPr>
          <w:p>
            <w:pPr>
              <w:spacing w:line="600" w:lineRule="exact"/>
              <w:jc w:val="center"/>
            </w:pPr>
          </w:p>
        </w:tc>
        <w:tc>
          <w:tcPr>
            <w:tcW w:w="2995" w:type="dxa"/>
            <w:vAlign w:val="center"/>
          </w:tcPr>
          <w:p>
            <w:pPr>
              <w:spacing w:line="600" w:lineRule="exact"/>
              <w:jc w:val="center"/>
            </w:pPr>
            <w:r>
              <w:rPr>
                <w:rFonts w:hint="eastAsia"/>
              </w:rPr>
              <w:t>违约赔付机制</w:t>
            </w:r>
          </w:p>
        </w:tc>
        <w:tc>
          <w:tcPr>
            <w:tcW w:w="718" w:type="dxa"/>
            <w:vAlign w:val="center"/>
          </w:tcPr>
          <w:p>
            <w:pPr>
              <w:spacing w:line="600" w:lineRule="exact"/>
              <w:jc w:val="center"/>
            </w:pPr>
            <w:r>
              <w:rPr>
                <w:rFonts w:hint="eastAsia"/>
              </w:rPr>
              <w:t>5</w:t>
            </w:r>
          </w:p>
        </w:tc>
        <w:tc>
          <w:tcPr>
            <w:tcW w:w="4393" w:type="dxa"/>
            <w:vAlign w:val="center"/>
          </w:tcPr>
          <w:p>
            <w:pPr>
              <w:spacing w:line="360" w:lineRule="exact"/>
              <w:jc w:val="left"/>
            </w:pPr>
            <w:r>
              <w:rPr>
                <w:rFonts w:hint="eastAsia"/>
              </w:rPr>
              <w:t>如因保险政策变动等因素，在后期履约中未能按照合同正常履约，应建立违约赔付机制。有违约赔付机制，5分；无， 0分。</w:t>
            </w:r>
          </w:p>
        </w:tc>
      </w:tr>
    </w:tbl>
    <w:p>
      <w:pPr>
        <w:pStyle w:val="18"/>
        <w:numPr>
          <w:ilvl w:val="255"/>
          <w:numId w:val="0"/>
        </w:numPr>
        <w:spacing w:before="100" w:after="100" w:line="520" w:lineRule="exact"/>
        <w:rPr>
          <w:rFonts w:hint="default" w:ascii="仿宋_GB2312" w:eastAsia="仿宋_GB2312"/>
          <w:sz w:val="28"/>
          <w:szCs w:val="28"/>
          <w:lang w:val="en-US" w:eastAsia="zh-CN"/>
        </w:rPr>
      </w:pPr>
    </w:p>
    <w:p>
      <w:pPr>
        <w:pStyle w:val="18"/>
        <w:numPr>
          <w:ilvl w:val="255"/>
          <w:numId w:val="0"/>
        </w:numPr>
        <w:spacing w:before="100" w:after="100" w:line="560" w:lineRule="exact"/>
        <w:ind w:left="560"/>
        <w:rPr>
          <w:rFonts w:ascii="仿宋" w:hAnsi="仿宋" w:eastAsia="仿宋" w:cs="仿宋"/>
          <w:b/>
          <w:bCs/>
          <w:sz w:val="32"/>
          <w:szCs w:val="32"/>
        </w:rPr>
      </w:pPr>
      <w:r>
        <w:rPr>
          <w:rFonts w:hint="eastAsia" w:ascii="仿宋" w:hAnsi="仿宋" w:eastAsia="仿宋" w:cs="仿宋"/>
          <w:b/>
          <w:bCs/>
          <w:sz w:val="32"/>
          <w:szCs w:val="32"/>
        </w:rPr>
        <w:t>二、确定中选人</w:t>
      </w:r>
    </w:p>
    <w:p>
      <w:pPr>
        <w:autoSpaceDE w:val="0"/>
        <w:autoSpaceDN w:val="0"/>
        <w:adjustRightInd w:val="0"/>
        <w:spacing w:before="100" w:after="100" w:line="560" w:lineRule="exact"/>
        <w:ind w:firstLine="640" w:firstLineChars="200"/>
        <w:rPr>
          <w:rFonts w:ascii="仿宋" w:hAnsi="仿宋" w:eastAsia="仿宋" w:cs="仿宋"/>
          <w:sz w:val="32"/>
          <w:szCs w:val="32"/>
        </w:rPr>
      </w:pPr>
      <w:r>
        <w:rPr>
          <w:rFonts w:hint="eastAsia" w:ascii="仿宋" w:hAnsi="仿宋" w:eastAsia="仿宋" w:cs="仿宋"/>
          <w:sz w:val="32"/>
          <w:szCs w:val="32"/>
        </w:rPr>
        <w:t>各评委对每个参选文件的</w:t>
      </w:r>
      <w:r>
        <w:rPr>
          <w:rFonts w:hint="eastAsia" w:ascii="仿宋" w:hAnsi="仿宋" w:eastAsia="仿宋" w:cs="仿宋"/>
          <w:kern w:val="0"/>
          <w:sz w:val="32"/>
          <w:szCs w:val="32"/>
        </w:rPr>
        <w:t>评分完毕后，计算全部评委评分的平均分为参选人得分。得分最高的参选人为第一中选候选人，</w:t>
      </w:r>
      <w:r>
        <w:rPr>
          <w:rFonts w:hint="eastAsia" w:ascii="仿宋" w:hAnsi="仿宋" w:eastAsia="仿宋" w:cs="仿宋"/>
          <w:sz w:val="32"/>
          <w:szCs w:val="32"/>
        </w:rPr>
        <w:t>得分排名第二和第三的为后备中标候选人。</w:t>
      </w:r>
      <w:r>
        <w:rPr>
          <w:rFonts w:hint="eastAsia" w:ascii="仿宋" w:hAnsi="仿宋" w:eastAsia="仿宋" w:cs="仿宋"/>
          <w:kern w:val="0"/>
          <w:sz w:val="32"/>
          <w:szCs w:val="32"/>
        </w:rPr>
        <w:t>有2家以上参选人得到相同最高得分的，由</w:t>
      </w:r>
      <w:r>
        <w:rPr>
          <w:rFonts w:hint="eastAsia" w:ascii="仿宋" w:hAnsi="仿宋" w:eastAsia="仿宋" w:cs="仿宋"/>
          <w:sz w:val="32"/>
          <w:szCs w:val="32"/>
        </w:rPr>
        <w:t>评审委员会</w:t>
      </w:r>
      <w:r>
        <w:rPr>
          <w:rFonts w:hint="eastAsia" w:ascii="仿宋" w:hAnsi="仿宋" w:eastAsia="仿宋" w:cs="仿宋"/>
          <w:kern w:val="0"/>
          <w:sz w:val="32"/>
          <w:szCs w:val="32"/>
        </w:rPr>
        <w:t>投票决定中选人。</w:t>
      </w:r>
    </w:p>
    <w:p>
      <w:bookmarkStart w:id="0" w:name="_GoBack"/>
      <w:bookmarkEnd w:id="0"/>
    </w:p>
    <w:p/>
    <w:p>
      <w:pPr>
        <w:autoSpaceDE w:val="0"/>
        <w:autoSpaceDN w:val="0"/>
        <w:adjustRightInd w:val="0"/>
        <w:spacing w:line="360" w:lineRule="auto"/>
        <w:jc w:val="center"/>
        <w:rPr>
          <w:rFonts w:ascii="方正仿宋简体" w:eastAsia="方正仿宋简体"/>
          <w:sz w:val="24"/>
          <w:szCs w:val="24"/>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632678"/>
    </w:sdtPr>
    <w:sdtContent>
      <w:p>
        <w:pPr>
          <w:pStyle w:val="7"/>
          <w:jc w:val="right"/>
        </w:pPr>
        <w:r>
          <w:fldChar w:fldCharType="begin"/>
        </w:r>
        <w:r>
          <w:instrText xml:space="preserve"> PAGE   \* MERGEFORMAT </w:instrText>
        </w:r>
        <w:r>
          <w:fldChar w:fldCharType="separate"/>
        </w:r>
        <w:r>
          <w:rPr>
            <w:lang w:val="zh-CN"/>
          </w:rPr>
          <w:t>-</w:t>
        </w:r>
        <w:r>
          <w:t xml:space="preserve"> 10 -</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9D4373"/>
    <w:multiLevelType w:val="singleLevel"/>
    <w:tmpl w:val="4D9D437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685"/>
    <w:rsid w:val="00052D0A"/>
    <w:rsid w:val="000572BF"/>
    <w:rsid w:val="00070687"/>
    <w:rsid w:val="00084840"/>
    <w:rsid w:val="00086090"/>
    <w:rsid w:val="00090BDF"/>
    <w:rsid w:val="000A22A1"/>
    <w:rsid w:val="000D3D2A"/>
    <w:rsid w:val="000E7F71"/>
    <w:rsid w:val="000F651A"/>
    <w:rsid w:val="001056C5"/>
    <w:rsid w:val="001130DC"/>
    <w:rsid w:val="00156871"/>
    <w:rsid w:val="00181BAD"/>
    <w:rsid w:val="001D433B"/>
    <w:rsid w:val="001E369C"/>
    <w:rsid w:val="001E3B72"/>
    <w:rsid w:val="00210170"/>
    <w:rsid w:val="0024067E"/>
    <w:rsid w:val="00243D44"/>
    <w:rsid w:val="0026084D"/>
    <w:rsid w:val="0027442D"/>
    <w:rsid w:val="00277E85"/>
    <w:rsid w:val="00285AE4"/>
    <w:rsid w:val="002A2A24"/>
    <w:rsid w:val="002B423D"/>
    <w:rsid w:val="002B5538"/>
    <w:rsid w:val="002C0785"/>
    <w:rsid w:val="002C7126"/>
    <w:rsid w:val="002E675B"/>
    <w:rsid w:val="002F1DA4"/>
    <w:rsid w:val="00306AE7"/>
    <w:rsid w:val="003158E6"/>
    <w:rsid w:val="00383AE1"/>
    <w:rsid w:val="003936F8"/>
    <w:rsid w:val="003949F6"/>
    <w:rsid w:val="00411138"/>
    <w:rsid w:val="00463685"/>
    <w:rsid w:val="00492E8C"/>
    <w:rsid w:val="00494C5C"/>
    <w:rsid w:val="004A3A93"/>
    <w:rsid w:val="004C17B2"/>
    <w:rsid w:val="004F0819"/>
    <w:rsid w:val="004F6112"/>
    <w:rsid w:val="005349F3"/>
    <w:rsid w:val="00542961"/>
    <w:rsid w:val="00544969"/>
    <w:rsid w:val="00554172"/>
    <w:rsid w:val="00571DF3"/>
    <w:rsid w:val="0058545C"/>
    <w:rsid w:val="00591E21"/>
    <w:rsid w:val="006025B3"/>
    <w:rsid w:val="00640751"/>
    <w:rsid w:val="006636FF"/>
    <w:rsid w:val="00665496"/>
    <w:rsid w:val="006769E0"/>
    <w:rsid w:val="00682F12"/>
    <w:rsid w:val="00687ECD"/>
    <w:rsid w:val="006A4C5A"/>
    <w:rsid w:val="006B19A9"/>
    <w:rsid w:val="006B2B4D"/>
    <w:rsid w:val="006E65FA"/>
    <w:rsid w:val="0071794F"/>
    <w:rsid w:val="00765FAC"/>
    <w:rsid w:val="00766D3F"/>
    <w:rsid w:val="00782C43"/>
    <w:rsid w:val="007C356B"/>
    <w:rsid w:val="007E6877"/>
    <w:rsid w:val="00807B8C"/>
    <w:rsid w:val="00817035"/>
    <w:rsid w:val="00847749"/>
    <w:rsid w:val="008519A1"/>
    <w:rsid w:val="00865A74"/>
    <w:rsid w:val="008771C6"/>
    <w:rsid w:val="008C5C02"/>
    <w:rsid w:val="008D041C"/>
    <w:rsid w:val="008E10E8"/>
    <w:rsid w:val="008F35A7"/>
    <w:rsid w:val="008F36F4"/>
    <w:rsid w:val="00902EB8"/>
    <w:rsid w:val="009064CB"/>
    <w:rsid w:val="00952A3B"/>
    <w:rsid w:val="009C74C3"/>
    <w:rsid w:val="00A30B86"/>
    <w:rsid w:val="00A7037F"/>
    <w:rsid w:val="00A76A04"/>
    <w:rsid w:val="00AA0C51"/>
    <w:rsid w:val="00AB2C6A"/>
    <w:rsid w:val="00AB522A"/>
    <w:rsid w:val="00AE2798"/>
    <w:rsid w:val="00B22340"/>
    <w:rsid w:val="00B340DA"/>
    <w:rsid w:val="00B721AF"/>
    <w:rsid w:val="00B81055"/>
    <w:rsid w:val="00BA0D5E"/>
    <w:rsid w:val="00BC1B01"/>
    <w:rsid w:val="00BD12B4"/>
    <w:rsid w:val="00C073B4"/>
    <w:rsid w:val="00C20951"/>
    <w:rsid w:val="00C25332"/>
    <w:rsid w:val="00C3112C"/>
    <w:rsid w:val="00C3776C"/>
    <w:rsid w:val="00C466BE"/>
    <w:rsid w:val="00C52B17"/>
    <w:rsid w:val="00C8685D"/>
    <w:rsid w:val="00D91866"/>
    <w:rsid w:val="00DB063F"/>
    <w:rsid w:val="00E0470B"/>
    <w:rsid w:val="00E16904"/>
    <w:rsid w:val="00E50031"/>
    <w:rsid w:val="00ED2840"/>
    <w:rsid w:val="00EF3EFE"/>
    <w:rsid w:val="00F127CF"/>
    <w:rsid w:val="00F25E29"/>
    <w:rsid w:val="00F453F2"/>
    <w:rsid w:val="00F65CED"/>
    <w:rsid w:val="00FD4F6A"/>
    <w:rsid w:val="00FD66F2"/>
    <w:rsid w:val="00FE01A2"/>
    <w:rsid w:val="00FE156A"/>
    <w:rsid w:val="01B14F1A"/>
    <w:rsid w:val="026D1267"/>
    <w:rsid w:val="039B6223"/>
    <w:rsid w:val="03CB28E1"/>
    <w:rsid w:val="043D45A9"/>
    <w:rsid w:val="06293766"/>
    <w:rsid w:val="06503A2B"/>
    <w:rsid w:val="06677414"/>
    <w:rsid w:val="07F1366D"/>
    <w:rsid w:val="08E54399"/>
    <w:rsid w:val="09A02ECC"/>
    <w:rsid w:val="09DE790B"/>
    <w:rsid w:val="0A826FF0"/>
    <w:rsid w:val="0C3B3913"/>
    <w:rsid w:val="0C895DB7"/>
    <w:rsid w:val="0F9011FD"/>
    <w:rsid w:val="110A2F87"/>
    <w:rsid w:val="16F57AF3"/>
    <w:rsid w:val="180333D2"/>
    <w:rsid w:val="189D2528"/>
    <w:rsid w:val="18F07644"/>
    <w:rsid w:val="1D050BAE"/>
    <w:rsid w:val="1D8364EB"/>
    <w:rsid w:val="1F0A7B9A"/>
    <w:rsid w:val="1FE10897"/>
    <w:rsid w:val="203E57E9"/>
    <w:rsid w:val="23413DA5"/>
    <w:rsid w:val="23AB0320"/>
    <w:rsid w:val="28530AC8"/>
    <w:rsid w:val="29F64915"/>
    <w:rsid w:val="2A4A6626"/>
    <w:rsid w:val="2BE903D5"/>
    <w:rsid w:val="2C2715FE"/>
    <w:rsid w:val="2C955D8D"/>
    <w:rsid w:val="2D1E4F5C"/>
    <w:rsid w:val="2DD85826"/>
    <w:rsid w:val="2F8E7A88"/>
    <w:rsid w:val="30B85899"/>
    <w:rsid w:val="36197F23"/>
    <w:rsid w:val="36AF62E3"/>
    <w:rsid w:val="3F3C6DE8"/>
    <w:rsid w:val="42F6725E"/>
    <w:rsid w:val="432729F9"/>
    <w:rsid w:val="48040840"/>
    <w:rsid w:val="49D05875"/>
    <w:rsid w:val="4A455DDB"/>
    <w:rsid w:val="4AD84C50"/>
    <w:rsid w:val="4DB650BE"/>
    <w:rsid w:val="4F734662"/>
    <w:rsid w:val="532E05B2"/>
    <w:rsid w:val="54922ABD"/>
    <w:rsid w:val="557D0632"/>
    <w:rsid w:val="59884507"/>
    <w:rsid w:val="5D74745E"/>
    <w:rsid w:val="60090274"/>
    <w:rsid w:val="625E5F6A"/>
    <w:rsid w:val="645E5ED9"/>
    <w:rsid w:val="656D2AA9"/>
    <w:rsid w:val="65A21E2E"/>
    <w:rsid w:val="66BD24FE"/>
    <w:rsid w:val="66E22833"/>
    <w:rsid w:val="6832723A"/>
    <w:rsid w:val="6A2C3362"/>
    <w:rsid w:val="72C1207A"/>
    <w:rsid w:val="75DE5652"/>
    <w:rsid w:val="7A327C66"/>
    <w:rsid w:val="7C164D51"/>
    <w:rsid w:val="7C5D0B83"/>
    <w:rsid w:val="7E9B793D"/>
    <w:rsid w:val="7F7321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0"/>
    <w:qFormat/>
    <w:uiPriority w:val="0"/>
    <w:rPr>
      <w:rFonts w:ascii="Times New Roman" w:hAnsi="Times New Roman" w:eastAsia="仿宋_GB2312" w:cs="Times New Roman"/>
      <w:sz w:val="32"/>
      <w:szCs w:val="24"/>
    </w:rPr>
  </w:style>
  <w:style w:type="paragraph" w:styleId="5">
    <w:name w:val="annotation text"/>
    <w:basedOn w:val="1"/>
    <w:link w:val="25"/>
    <w:semiHidden/>
    <w:unhideWhenUsed/>
    <w:qFormat/>
    <w:uiPriority w:val="99"/>
    <w:pPr>
      <w:jc w:val="left"/>
    </w:pPr>
  </w:style>
  <w:style w:type="paragraph" w:styleId="6">
    <w:name w:val="Balloon Text"/>
    <w:basedOn w:val="1"/>
    <w:link w:val="24"/>
    <w:semiHidden/>
    <w:unhideWhenUsed/>
    <w:qFormat/>
    <w:uiPriority w:val="99"/>
    <w:rPr>
      <w:sz w:val="16"/>
      <w:szCs w:val="16"/>
    </w:rPr>
  </w:style>
  <w:style w:type="paragraph" w:styleId="7">
    <w:name w:val="footer"/>
    <w:basedOn w:val="1"/>
    <w:link w:val="23"/>
    <w:unhideWhenUsed/>
    <w:qFormat/>
    <w:uiPriority w:val="99"/>
    <w:pPr>
      <w:tabs>
        <w:tab w:val="center" w:pos="4153"/>
        <w:tab w:val="right" w:pos="8306"/>
      </w:tabs>
      <w:snapToGrid w:val="0"/>
      <w:jc w:val="left"/>
    </w:pPr>
    <w:rPr>
      <w:sz w:val="18"/>
      <w:szCs w:val="18"/>
    </w:rPr>
  </w:style>
  <w:style w:type="paragraph" w:styleId="8">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26"/>
    <w:semiHidden/>
    <w:unhideWhenUsed/>
    <w:qFormat/>
    <w:uiPriority w:val="99"/>
    <w:rPr>
      <w:b/>
      <w:bCs/>
    </w:rPr>
  </w:style>
  <w:style w:type="character" w:styleId="12">
    <w:name w:val="Strong"/>
    <w:basedOn w:val="11"/>
    <w:qFormat/>
    <w:uiPriority w:val="22"/>
    <w:rPr>
      <w:b/>
      <w:bCs/>
    </w:r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character" w:styleId="14">
    <w:name w:val="annotation reference"/>
    <w:basedOn w:val="11"/>
    <w:semiHidden/>
    <w:unhideWhenUsed/>
    <w:qFormat/>
    <w:uiPriority w:val="99"/>
    <w:rPr>
      <w:sz w:val="21"/>
      <w:szCs w:val="21"/>
    </w:rPr>
  </w:style>
  <w:style w:type="character" w:customStyle="1" w:styleId="15">
    <w:name w:val="标题 1 字符"/>
    <w:basedOn w:val="11"/>
    <w:link w:val="3"/>
    <w:qFormat/>
    <w:uiPriority w:val="9"/>
    <w:rPr>
      <w:b/>
      <w:bCs/>
      <w:kern w:val="44"/>
      <w:sz w:val="44"/>
      <w:szCs w:val="44"/>
    </w:rPr>
  </w:style>
  <w:style w:type="character" w:customStyle="1" w:styleId="16">
    <w:name w:val="标题 2 字符"/>
    <w:basedOn w:val="11"/>
    <w:link w:val="4"/>
    <w:qFormat/>
    <w:uiPriority w:val="9"/>
    <w:rPr>
      <w:rFonts w:asciiTheme="majorHAnsi" w:hAnsiTheme="majorHAnsi" w:eastAsiaTheme="majorEastAsia" w:cstheme="majorBidi"/>
      <w:b/>
      <w:bCs/>
      <w:sz w:val="32"/>
      <w:szCs w:val="32"/>
    </w:rPr>
  </w:style>
  <w:style w:type="paragraph" w:styleId="1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18">
    <w:name w:val="List Paragraph"/>
    <w:basedOn w:val="1"/>
    <w:qFormat/>
    <w:uiPriority w:val="34"/>
    <w:pPr>
      <w:ind w:firstLine="420" w:firstLineChars="200"/>
    </w:pPr>
  </w:style>
  <w:style w:type="character" w:customStyle="1" w:styleId="19">
    <w:name w:val="书籍标题1"/>
    <w:basedOn w:val="11"/>
    <w:qFormat/>
    <w:uiPriority w:val="33"/>
    <w:rPr>
      <w:b/>
      <w:bCs/>
      <w:smallCaps/>
      <w:spacing w:val="5"/>
    </w:rPr>
  </w:style>
  <w:style w:type="character" w:customStyle="1" w:styleId="20">
    <w:name w:val="正文文本 字符"/>
    <w:basedOn w:val="11"/>
    <w:link w:val="2"/>
    <w:qFormat/>
    <w:uiPriority w:val="0"/>
    <w:rPr>
      <w:rFonts w:ascii="Times New Roman" w:hAnsi="Times New Roman" w:eastAsia="仿宋_GB2312" w:cs="Times New Roman"/>
      <w:sz w:val="32"/>
      <w:szCs w:val="24"/>
    </w:rPr>
  </w:style>
  <w:style w:type="paragraph" w:customStyle="1" w:styleId="21">
    <w:name w:val="Default"/>
    <w:qFormat/>
    <w:uiPriority w:val="0"/>
    <w:pPr>
      <w:widowControl w:val="0"/>
      <w:autoSpaceDE w:val="0"/>
      <w:autoSpaceDN w:val="0"/>
      <w:adjustRightInd w:val="0"/>
    </w:pPr>
    <w:rPr>
      <w:rFonts w:ascii="华文楷体" w:hAnsi="Times New Roman" w:eastAsia="华文楷体" w:cs="华文楷体"/>
      <w:color w:val="000000"/>
      <w:sz w:val="24"/>
      <w:szCs w:val="24"/>
      <w:lang w:val="en-US" w:eastAsia="zh-CN" w:bidi="ar-SA"/>
    </w:rPr>
  </w:style>
  <w:style w:type="character" w:customStyle="1" w:styleId="22">
    <w:name w:val="页眉 字符"/>
    <w:basedOn w:val="11"/>
    <w:link w:val="8"/>
    <w:qFormat/>
    <w:uiPriority w:val="99"/>
    <w:rPr>
      <w:rFonts w:ascii="Calibri" w:hAnsi="Calibri" w:eastAsia="宋体" w:cs="黑体"/>
      <w:sz w:val="18"/>
      <w:szCs w:val="18"/>
    </w:rPr>
  </w:style>
  <w:style w:type="character" w:customStyle="1" w:styleId="23">
    <w:name w:val="页脚 字符"/>
    <w:basedOn w:val="11"/>
    <w:link w:val="7"/>
    <w:qFormat/>
    <w:uiPriority w:val="99"/>
    <w:rPr>
      <w:rFonts w:ascii="Calibri" w:hAnsi="Calibri" w:eastAsia="宋体" w:cs="黑体"/>
      <w:sz w:val="18"/>
      <w:szCs w:val="18"/>
    </w:rPr>
  </w:style>
  <w:style w:type="character" w:customStyle="1" w:styleId="24">
    <w:name w:val="批注框文本 字符"/>
    <w:basedOn w:val="11"/>
    <w:link w:val="6"/>
    <w:semiHidden/>
    <w:qFormat/>
    <w:uiPriority w:val="99"/>
    <w:rPr>
      <w:rFonts w:ascii="Calibri" w:hAnsi="Calibri" w:eastAsia="宋体" w:cs="黑体"/>
      <w:sz w:val="16"/>
      <w:szCs w:val="16"/>
    </w:rPr>
  </w:style>
  <w:style w:type="character" w:customStyle="1" w:styleId="25">
    <w:name w:val="批注文字 字符"/>
    <w:basedOn w:val="11"/>
    <w:link w:val="5"/>
    <w:semiHidden/>
    <w:qFormat/>
    <w:uiPriority w:val="99"/>
    <w:rPr>
      <w:rFonts w:ascii="Calibri" w:hAnsi="Calibri" w:eastAsia="宋体" w:cs="黑体"/>
    </w:rPr>
  </w:style>
  <w:style w:type="character" w:customStyle="1" w:styleId="26">
    <w:name w:val="批注主题 字符"/>
    <w:basedOn w:val="25"/>
    <w:link w:val="9"/>
    <w:semiHidden/>
    <w:qFormat/>
    <w:uiPriority w:val="99"/>
    <w:rPr>
      <w:rFonts w:ascii="Calibri" w:hAnsi="Calibri" w:eastAsia="宋体" w:cs="黑体"/>
      <w:b/>
      <w:bCs/>
    </w:rPr>
  </w:style>
  <w:style w:type="character" w:customStyle="1" w:styleId="27">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4C2E60-2D3E-4E27-AD1B-12619CE95DA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664</Words>
  <Characters>3788</Characters>
  <Lines>31</Lines>
  <Paragraphs>8</Paragraphs>
  <TotalTime>0</TotalTime>
  <ScaleCrop>false</ScaleCrop>
  <LinksUpToDate>false</LinksUpToDate>
  <CharactersWithSpaces>4444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2021-10-14T08:22:00Z</dcterms:created>
  <dc:creator>微软中国</dc:creator>
  <cp:lastModifiedBy>马叔叔i</cp:lastModifiedBy>
  <cp:lastPrinted>2018-01-18T08:36:00Z</cp:lastPrinted>
  <dcterms:modified xsi:type="dcterms:W3CDTF">2021-11-23T02:25:46Z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B2216B36B5E545E69D87EEEB1F9FEEE2</vt:lpwstr>
  </property>
</Properties>
</file>